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36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1"/>
        <w:gridCol w:w="8410"/>
        <w:gridCol w:w="1683"/>
        <w:gridCol w:w="2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职权编码</w:t>
            </w:r>
          </w:p>
        </w:tc>
        <w:tc>
          <w:tcPr>
            <w:tcW w:w="8410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1000-A-00100-140981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职权类型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行政许可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职权名称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排放污染物许可证核发（变更、延续）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子　　项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5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职权依据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【法律】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《中华人民共和国环境保护法》 第四十五条 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《中华人民共和国水污染防治法》第二十一条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《中华人民共和国大气污染防治法》 第十九条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【部门规章】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《排污许可管理办法（试行）》 第二条 、第四条 、第六条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责任事项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1.受理责任：公示依法应当提交的材料目录；初步审核申报材料,依法受理或不予受理（不予受理应当告知理由）。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2.审查责任：材料审核，提出拟办意见。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3.决定责任：作出准予许可或不予许可的审批决定。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4.送达责任：依法送达排污许可证。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5.事后监管责任：加强排污许可证监督管理。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6.其他：法律法规规章文件规定应履行的责任。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问责依据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【法律】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《行政许可法》第七十二条－－第七十五条、第七十七条；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《中华人民共和国环境保护法》第六十八条；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《中华人民共和国水污染防治法》第六十九条；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 xml:space="preserve">《中华人民共和国大气污染防治法》第一百二十六条。            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【地方法规】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 xml:space="preserve">《山西省排放污染物许可证管理办法》第十七条。        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【其他】</w:t>
            </w:r>
          </w:p>
          <w:p>
            <w:pP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其他违反法律法规规章文件规定的行为。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实施主体</w:t>
            </w:r>
          </w:p>
        </w:tc>
        <w:tc>
          <w:tcPr>
            <w:tcW w:w="8410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textAlignment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建设项目管理与排污许可科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责任主体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原平市环境保护局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流程图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069205" cy="6112510"/>
                  <wp:effectExtent l="0" t="0" r="17145" b="2540"/>
                  <wp:docPr id="8" name="图片 1" descr="原平市排污许可证行政许可流程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原平市排污许可证行政许可流程图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205" cy="611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廉政风险防控图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44"/>
                <w:szCs w:val="4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5085715" cy="5728970"/>
                  <wp:effectExtent l="0" t="0" r="635" b="5080"/>
                  <wp:docPr id="10" name="图片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1977" b="8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715" cy="572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</w:rPr>
      </w:pPr>
    </w:p>
    <w:tbl>
      <w:tblPr>
        <w:tblStyle w:val="3"/>
        <w:tblW w:w="136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1"/>
        <w:gridCol w:w="8410"/>
        <w:gridCol w:w="1683"/>
        <w:gridCol w:w="2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职权编码</w:t>
            </w:r>
          </w:p>
        </w:tc>
        <w:tc>
          <w:tcPr>
            <w:tcW w:w="8410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1000-A-00200-140981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职权类型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行政许可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职权名称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建设项目环境影响报告书、报告表审批（含发生重大变化或超过5年的重新审批）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子　　项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5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职权依据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【法律】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《中华人民共和国环境保护法》第十九条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《中华人民共和国环境影响评价法》第三条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《中华人民共和国环境影响评价法》 第二十二条 、第二十三条 、 第二十四条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【行政法规】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《建设项目环境保护管理条例》 第十条 、 第十二条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责任事项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numPr>
                <w:ilvl w:val="0"/>
                <w:numId w:val="1"/>
              </w:numPr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受理责任：公示依法应当提交的材料目录；初步审核申报材料,依法受理或不予受理（不予受理应当告知理由）；对建设项目环评文件进行受理公示。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2.审查责任：材料审核，包括备案文件（备案制项目）、经审查同意的水土保持方案（涉及水土保持项目）、行业主管部门的预审意见（有行业主管部门的）；技术评估报告或评审意见；提出拟办意见；公示拟批准的建设项目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3.决定责任：作出准予许可或不予许可的审批决定；按时办结；定期发布审批文件。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4.送达责任：制发审批文书、依法告知审批决定。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5.事后监管责任：加强建设项目监督管理。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6.其他：法律法规规章规定应履行的责任。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问责依据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【法律】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 xml:space="preserve">《行政许可法》第七十二条－－第七十五条                       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 xml:space="preserve">《公务员法》第五十三条；          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 xml:space="preserve">《中华人民共和国环境保护法》第六十八条；           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 xml:space="preserve">《环境影响评价法》第三十五条。          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【其他】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其他违反法律法规规章文件规定的行为。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实施主体</w:t>
            </w:r>
          </w:p>
        </w:tc>
        <w:tc>
          <w:tcPr>
            <w:tcW w:w="8410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环评科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责任主体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原平市环境保护局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流程图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ind w:firstLine="360" w:firstLineChars="200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6069330" cy="5636895"/>
                  <wp:effectExtent l="0" t="0" r="7620" b="1905"/>
                  <wp:docPr id="6" name="图片 3" descr="环评流程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环评流程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330" cy="563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廉政风险防控图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4283710" cy="5660390"/>
                  <wp:effectExtent l="0" t="0" r="2540" b="16510"/>
                  <wp:docPr id="7" name="图片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5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566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tbl>
      <w:tblPr>
        <w:tblStyle w:val="3"/>
        <w:tblW w:w="136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9"/>
        <w:gridCol w:w="8322"/>
        <w:gridCol w:w="1683"/>
        <w:gridCol w:w="2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职权编码</w:t>
            </w:r>
          </w:p>
        </w:tc>
        <w:tc>
          <w:tcPr>
            <w:tcW w:w="8322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1000-A-00300-140981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职权类型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行政许可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5" w:hRule="atLeast"/>
        </w:trPr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职权名称</w:t>
            </w:r>
          </w:p>
        </w:tc>
        <w:tc>
          <w:tcPr>
            <w:tcW w:w="12066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建筑施工噪声许可证审批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子　　项</w:t>
            </w:r>
          </w:p>
        </w:tc>
        <w:tc>
          <w:tcPr>
            <w:tcW w:w="12066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5" w:hRule="atLeast"/>
        </w:trPr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职权依据</w:t>
            </w:r>
          </w:p>
        </w:tc>
        <w:tc>
          <w:tcPr>
            <w:tcW w:w="12066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【法律】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《中华人民共和国环境噪声污染防治法》 第二十七条 、第二十八条、第二十九条 、第三十条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责任事项</w:t>
            </w:r>
          </w:p>
        </w:tc>
        <w:tc>
          <w:tcPr>
            <w:tcW w:w="12066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1.受理责任：一次性告知受理材料；依法受理或不予受理（不予受理应当告知理由）。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 xml:space="preserve">2.审核责任：对报批材料结合现场检查情况进行集体审查； 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3.决定责任：作出决定（不予行政许可的应当告知理由）；按时办结；依法告知。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4.送达责任：印发危险废物经营许可决定文件。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5.事后监管责任：对危险废物的收集纳入日常监督管理体系。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6.其他：法律法规规章规定应履行的责任。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问责依据</w:t>
            </w:r>
          </w:p>
        </w:tc>
        <w:tc>
          <w:tcPr>
            <w:tcW w:w="12066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【法律】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《行政许可法》第七十二条－－第七十五条、第七十七条。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【行政法规】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《行政机关公务员处分条例》（国务院令第495号）第十九条至第二十八条。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【部门规章】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《环境保护违法违纪行为处分暂行规定》（监察部、国家环境保护总局令第10号）第七条－－第十条。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【其他】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其他违反法律法规规章文件规定的行为。"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实施主体</w:t>
            </w:r>
          </w:p>
        </w:tc>
        <w:tc>
          <w:tcPr>
            <w:tcW w:w="8322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土壤、大气科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责任主体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原平市环境保护局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  <w:tc>
          <w:tcPr>
            <w:tcW w:w="12066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流程图</w:t>
            </w:r>
          </w:p>
        </w:tc>
        <w:tc>
          <w:tcPr>
            <w:tcW w:w="12066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286" w:lineRule="auto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lang w:val="zh-CN"/>
              </w:rPr>
              <w:drawing>
                <wp:inline distT="0" distB="0" distL="114300" distR="114300">
                  <wp:extent cx="5707380" cy="5860415"/>
                  <wp:effectExtent l="0" t="0" r="6985" b="7620"/>
                  <wp:docPr id="9" name="图片 5" descr="文档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文档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494" r="1360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07380" cy="586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49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廉政风险防控图</w:t>
            </w:r>
          </w:p>
        </w:tc>
        <w:tc>
          <w:tcPr>
            <w:tcW w:w="12066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autoSpaceDE w:val="0"/>
              <w:autoSpaceDN w:val="0"/>
              <w:adjustRightInd w:val="0"/>
              <w:spacing w:line="286" w:lineRule="auto"/>
              <w:jc w:val="center"/>
              <w:rPr>
                <w:rFonts w:hint="eastAsia"/>
                <w:color w:val="000000"/>
                <w:kern w:val="0"/>
                <w:lang w:val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4283710" cy="5660390"/>
                  <wp:effectExtent l="0" t="0" r="2540" b="16510"/>
                  <wp:docPr id="5" name="图片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5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566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</w:rPr>
      </w:pPr>
    </w:p>
    <w:tbl>
      <w:tblPr>
        <w:tblStyle w:val="3"/>
        <w:tblW w:w="136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1"/>
        <w:gridCol w:w="8410"/>
        <w:gridCol w:w="1683"/>
        <w:gridCol w:w="2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职权编码</w:t>
            </w:r>
          </w:p>
        </w:tc>
        <w:tc>
          <w:tcPr>
            <w:tcW w:w="8410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1000-A-00400-140981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职权类型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行政许可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职权名称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危险废物收集经营许可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子　　项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7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职权依据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【法律】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《中华人民共和国固体废物污染环境防治法》  第五十七条、五十八条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【行政法规】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《危险废物经营许可证管理办法》（国务院令第408号）第七条、第十一条、第十二条、第十三条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责任事项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1.受理责任：一次性告知受理材料；依法受理或不予受理（不予受理应当告知理由）。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 xml:space="preserve">2.审核责任：对报批材料结合现场检查情况进行集体审查； 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3.决定责任：作出决定（不予行政许可的应当告知理由）；按时办结；依法告知。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4.送达责任：印发危险废物经营许可决定文件。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5.事后监管责任：对危险废物的收集纳入日常监督管理体系。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6.其他：法律法规规章规定应履行的责任。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问责依据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【法律】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《行政许可法》第七十二条－－第七十五条、第七十七条。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【行政法规】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《行政机关公务员处分条例》（国务院令第495号）第十九条至第二十八条。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【部门规章】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《环境保护违法违纪行为处分暂行规定》（监察部、国家环境保护总局令第10号）第七条－－第十条。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【其他】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其他违反法律法规规章文件规定的行为。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实施主体</w:t>
            </w:r>
          </w:p>
        </w:tc>
        <w:tc>
          <w:tcPr>
            <w:tcW w:w="8410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  <w:t>土壤、大气科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责任主体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原平市环境保护局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流程图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_GB2312" w:hAnsi="Arial" w:eastAsia="仿宋_GB2312" w:cs="Arial"/>
                <w:color w:val="777777"/>
                <w:kern w:val="0"/>
                <w:sz w:val="24"/>
              </w:rPr>
              <w:fldChar w:fldCharType="begin"/>
            </w:r>
            <w:r>
              <w:rPr>
                <w:rFonts w:hint="eastAsia" w:ascii="仿宋_GB2312" w:hAnsi="Arial" w:eastAsia="仿宋_GB2312" w:cs="Arial"/>
                <w:color w:val="777777"/>
                <w:kern w:val="0"/>
                <w:sz w:val="24"/>
              </w:rPr>
              <w:instrText xml:space="preserve"> INCLUDEPICTURE "http://www.pingjiang.gov.cn/UploadFiles/PublicInformation/bmdwhbj/201211051014163335.png" \* MERGEFORMATINET </w:instrText>
            </w:r>
            <w:r>
              <w:rPr>
                <w:rFonts w:hint="eastAsia" w:ascii="仿宋_GB2312" w:hAnsi="Arial" w:eastAsia="仿宋_GB2312" w:cs="Arial"/>
                <w:color w:val="777777"/>
                <w:kern w:val="0"/>
                <w:sz w:val="24"/>
              </w:rPr>
              <w:fldChar w:fldCharType="separate"/>
            </w:r>
            <w:r>
              <w:rPr>
                <w:rFonts w:hint="eastAsia" w:ascii="仿宋_GB2312" w:hAnsi="Arial" w:eastAsia="仿宋_GB2312" w:cs="Arial"/>
                <w:color w:val="777777"/>
                <w:kern w:val="0"/>
                <w:sz w:val="24"/>
              </w:rPr>
              <w:drawing>
                <wp:inline distT="0" distB="0" distL="114300" distR="114300">
                  <wp:extent cx="5273675" cy="6098540"/>
                  <wp:effectExtent l="0" t="0" r="3175" b="16510"/>
                  <wp:docPr id="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609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Arial" w:eastAsia="仿宋_GB2312" w:cs="Arial"/>
                <w:color w:val="777777"/>
                <w:kern w:val="0"/>
                <w:sz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廉政风险防控图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4271645" cy="5815965"/>
                  <wp:effectExtent l="0" t="0" r="14605" b="13335"/>
                  <wp:docPr id="2" name="图片 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2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645" cy="581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</w:rPr>
      </w:pPr>
    </w:p>
    <w:tbl>
      <w:tblPr>
        <w:tblStyle w:val="3"/>
        <w:tblW w:w="136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1"/>
        <w:gridCol w:w="8410"/>
        <w:gridCol w:w="1683"/>
        <w:gridCol w:w="2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职权编码</w:t>
            </w:r>
          </w:p>
        </w:tc>
        <w:tc>
          <w:tcPr>
            <w:tcW w:w="8410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1000-A-00500-140981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职权类型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行政许可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职权名称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污染防治设施拆除或闲置许可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子　　项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0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职权依据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【法律】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 xml:space="preserve">《中华人民共和国固体废物污染环境防治法》第三十四条 、第四十四条 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《中华人民共和国环境噪声污染防治法》第十五条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【行政法规】</w:t>
            </w:r>
          </w:p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t>《中华人民共和国水污染防治法实施细则》第五条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责任事项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1.受理责任：一次性告知受理材料；依法受理或不予受理（不予受理应当告知理由）。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 xml:space="preserve">2.审核责任：对报批材料结合现场检查情况进行集体审查； 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3.决定责任：作出决定（不予行政许可的应当告知理由）；按时办结；依法告知。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4.送达责任：印发拆除或闲置决定文件。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5.事后监管责任：对通过拆除或闲置的设施纳入日常监督管理体系。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6.其他：法律法规规章规定应履行的责任。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1" w:hRule="atLeast"/>
        </w:trPr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问责依据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【法律】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《行政许可法》第七十二条－－第七十五条、第七十七条；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【行政法规】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《行政机关公务员处分条例》（国务院令第495号）第十九条至第二十八条。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【部门规章】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《环境保护违法违纪行为处分暂行规定》（监察部、国家环境保护总局令第10号）第七条－－第十条；《建设项目环境保护管理条例》（国务院令第253号）第三十条。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【其他】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其他违反法律法规规章文件规定的行为。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实施主体</w:t>
            </w:r>
          </w:p>
        </w:tc>
        <w:tc>
          <w:tcPr>
            <w:tcW w:w="8410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土壤、大气科</w:t>
            </w:r>
          </w:p>
        </w:tc>
        <w:tc>
          <w:tcPr>
            <w:tcW w:w="1683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责任主体</w:t>
            </w:r>
          </w:p>
        </w:tc>
        <w:tc>
          <w:tcPr>
            <w:tcW w:w="2061" w:type="dxa"/>
            <w:shd w:val="clear" w:color="auto" w:fill="FFFFFF"/>
            <w:tcMar>
              <w:left w:w="150" w:type="dxa"/>
            </w:tcMar>
            <w:vAlign w:val="center"/>
          </w:tcPr>
          <w:p>
            <w:pPr>
              <w:widowControl/>
              <w:wordWrap w:val="0"/>
              <w:spacing w:line="420" w:lineRule="atLeast"/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原平市环境保护局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流程图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5066665" cy="6113780"/>
                  <wp:effectExtent l="0" t="0" r="635" b="1270"/>
                  <wp:docPr id="1" name="图片 9" descr="污染治理设施拆除或闲置初审流程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9" descr="污染治理设施拆除或闲置初审流程图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665" cy="611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shd w:val="clear" w:color="auto" w:fill="FFFFFF"/>
            <w:vAlign w:val="center"/>
          </w:tcPr>
          <w:p>
            <w:pPr>
              <w:widowControl/>
              <w:wordWrap w:val="0"/>
              <w:spacing w:line="420" w:lineRule="atLeast"/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bidi="ar"/>
              </w:rPr>
              <w:t>廉政风险防控图</w:t>
            </w:r>
          </w:p>
        </w:tc>
        <w:tc>
          <w:tcPr>
            <w:tcW w:w="12154" w:type="dxa"/>
            <w:gridSpan w:val="3"/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4271645" cy="5815965"/>
                  <wp:effectExtent l="0" t="0" r="14605" b="13335"/>
                  <wp:docPr id="4" name="图片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0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2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645" cy="581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E8B05"/>
    <w:multiLevelType w:val="singleLevel"/>
    <w:tmpl w:val="39CE8B0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52338F"/>
    <w:rsid w:val="6C52338F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2018-08-13T02:42:00Z</dcterms:created>
  <dc:creator>Administrator</dc:creator>
  <cp:lastModifiedBy>Administrator</cp:lastModifiedBy>
  <dcterms:modified xsi:type="dcterms:W3CDTF">2018-08-13T02:42:34Z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