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9" w:type="dxa"/>
        <w:tblInd w:w="-843"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57"/>
        <w:gridCol w:w="8122"/>
        <w:gridCol w:w="2951"/>
        <w:gridCol w:w="2769"/>
      </w:tblGrid>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1900-C-00100-140981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466125" w:rsidRDefault="00BE1D4D" w:rsidP="00911021">
            <w:pPr>
              <w:tabs>
                <w:tab w:val="left" w:pos="7937"/>
              </w:tabs>
              <w:spacing w:line="200" w:lineRule="exact"/>
              <w:rPr>
                <w:rFonts w:ascii="宋体" w:hAnsi="宋体" w:cs="宋体"/>
                <w:kern w:val="1"/>
                <w:sz w:val="18"/>
                <w:szCs w:val="18"/>
              </w:rPr>
            </w:pPr>
            <w:r>
              <w:rPr>
                <w:rFonts w:ascii="宋体" w:hAnsi="宋体" w:hint="eastAsia"/>
                <w:sz w:val="18"/>
                <w:szCs w:val="18"/>
              </w:rPr>
              <w:t>对需认定的营业执照的临时扣留</w:t>
            </w:r>
          </w:p>
        </w:tc>
      </w:tr>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【行政法规】《中华人民共和国公司登记管理条例》第六十条</w:t>
            </w:r>
          </w:p>
        </w:tc>
      </w:tr>
      <w:tr w:rsidR="00BE1D4D" w:rsidRPr="00DE6D3B"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57"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2"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466125" w:rsidRDefault="00BE1D4D" w:rsidP="00911021">
            <w:pPr>
              <w:tabs>
                <w:tab w:val="left" w:pos="7937"/>
              </w:tabs>
              <w:spacing w:line="200" w:lineRule="exact"/>
              <w:rPr>
                <w:rFonts w:ascii="宋体" w:hAnsi="宋体" w:cs="宋体"/>
                <w:kern w:val="1"/>
                <w:sz w:val="18"/>
                <w:szCs w:val="18"/>
              </w:rPr>
            </w:pPr>
            <w:r>
              <w:rPr>
                <w:rFonts w:ascii="宋体" w:hAnsi="宋体" w:hint="eastAsia"/>
                <w:sz w:val="18"/>
                <w:szCs w:val="18"/>
              </w:rPr>
              <w:t>对逾期不申请复议，或者复议后拒不执行复议决定，又不起诉的，强制更改企业名称，扣缴企业营业执照</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【行政法规】《企业名称登记管理规定》（国务院令第628号）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第二十八条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 name="图片 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1900-C-00300-140981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466125" w:rsidRDefault="00BE1D4D" w:rsidP="00911021">
            <w:pPr>
              <w:tabs>
                <w:tab w:val="left" w:pos="7937"/>
              </w:tabs>
              <w:spacing w:line="200" w:lineRule="exact"/>
              <w:rPr>
                <w:rFonts w:ascii="宋体" w:hAnsi="宋体" w:cs="宋体"/>
                <w:kern w:val="1"/>
                <w:sz w:val="18"/>
                <w:szCs w:val="18"/>
              </w:rPr>
            </w:pPr>
            <w:r>
              <w:rPr>
                <w:rFonts w:ascii="宋体" w:hAnsi="宋体" w:hint="eastAsia"/>
                <w:sz w:val="18"/>
                <w:szCs w:val="18"/>
              </w:rPr>
              <w:t>责令暂停销售与不正当竞争行为有关的财物</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【法律】《中华人民共和国反不正当竞争法》</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第十七条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5"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6" name="图片 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1900-C-00400-140981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对采取暴力、威胁等手段欺行霸市、强买强卖，阻碍外地产品或者服务进入本地市场的经营单位的查封</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【行政法规】《国务院关于禁止在市场经济活动中实行地区封锁的规定》（国务院令第303号）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第二十四条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7" name="图片 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8"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1900-C-00500-140981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对涉嫌侵犯他人注册商标专用权的物品的查封或者扣押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【法律】</w:t>
            </w:r>
          </w:p>
          <w:p w:rsidR="00BE1D4D" w:rsidRDefault="00BE1D4D" w:rsidP="00911021">
            <w:pPr>
              <w:spacing w:line="260" w:lineRule="exact"/>
              <w:rPr>
                <w:rFonts w:ascii="宋体" w:hAnsi="宋体"/>
                <w:sz w:val="18"/>
                <w:szCs w:val="18"/>
              </w:rPr>
            </w:pPr>
            <w:r>
              <w:rPr>
                <w:rFonts w:ascii="宋体" w:hAnsi="宋体" w:hint="eastAsia"/>
                <w:sz w:val="18"/>
                <w:szCs w:val="18"/>
              </w:rPr>
              <w:t>《中华人民共和国商标法》(2013年修订)</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第六十二条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lastRenderedPageBreak/>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9" name="图片 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10" name="图片 1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1900-C-00600-140981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对涉嫌侵犯奥林匹克专用权的物品的查封或者扣押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【行政法规】《奥林匹克标志保护条例》（国务院令第345号）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第十一条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11" name="图片 1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12" name="图片 1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1900-C-00700-140981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对侵犯世界博览会标志专用权物品的查封或者扣押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w:t>
            </w:r>
            <w:proofErr w:type="gramStart"/>
            <w:r>
              <w:rPr>
                <w:rFonts w:ascii="宋体" w:hAnsi="宋体" w:hint="eastAsia"/>
                <w:sz w:val="18"/>
                <w:szCs w:val="18"/>
              </w:rPr>
              <w:t>】</w:t>
            </w:r>
            <w:proofErr w:type="gramEnd"/>
            <w:r>
              <w:rPr>
                <w:rFonts w:ascii="宋体" w:hAnsi="宋体" w:hint="eastAsia"/>
                <w:sz w:val="18"/>
                <w:szCs w:val="18"/>
              </w:rPr>
              <w:t>《世界博览会标志保护条例》（国务院令第422号）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第十条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13" name="图片 1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14" name="图片 1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1900-C-00800-140981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对有根据认为不符合保障人体健康和人身、财产安全的国家标准、行业标准的产品或者有其他严重质量问题的产品，以及直接用于生产、销售该项产品的原辅材料、包装物、生产工具的查封或者扣押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 xml:space="preserve">【法律】《中华人民共和国产品质量法》    </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第十八条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15" name="图片 1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16" name="图片 1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1900-C-00900-140981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查封、扣押涉嫌传销的有关合同、票据、账簿等资料，专门用于传销的产品（商品）、工具、设备、原材料等财物、查封涉嫌传销的经营场所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【行政法规】《禁止传销条例》(国务院令第444号)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第十四条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17" name="图片 1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18" name="图片 1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1900-C-01000-140981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对与直销活动有关的材料和非法财物的查封、扣押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【行政法规】《直销管理条例》(国务院令第443号)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第三十五条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19" name="图片 1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20" name="图片 2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1900-C-01100-140981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对有关企业有涉嫌违反《直销管理条例》行为的，责令其暂时停止有关的经营活动</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【行政法规】《直销管理条例》(国务院令第443号)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第三十六条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21" name="图片 2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22" name="图片 2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查封或扣押专门用于从事无照经营活动的工具、设备、原材料、产品（商品）等财物，查封有证据表明危害人体健康、存在重大安全隐患、威胁公共安全、破坏环境资源的无照经营场所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【行政法规】《无照经营查处取缔办法》（国务院令第370号）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第九条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23" name="图片 2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24" name="图片 2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1900-C-01300-140981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对擅自从事报废汽车回收活动的查封、取缔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【行政法规】《报废汽车回收管理办法》（国务院令第307号）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第十八条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25" name="图片 2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26" name="图片 2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1900-C-01400-140981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对涉嫌非法生产、销售军服或者军服仿制品的查封、扣押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【行政法规】《军服管理条例》（国务院令第547号）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 xml:space="preserve">第十二条第二款　</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27" name="图片 2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28" name="图片 2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1900-C-01500-140981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对违法收购、销售棉花的查封、扣押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【行政法规】《棉花加工资格认定和市场管理暂行办法》（2006年国家发展和改革委员会、国家工商行政管理总局、国家质量监督检验检疫总局令第49号）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第三十七条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29" name="图片 2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0" name="图片 3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1900-C-01600-140981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对擅自从事娱乐场所经营活动的取缔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【行政法规】《娱乐场所管理条例》（国务院令第458号）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第四十条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1" name="图片 3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2" name="图片 3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1900-C-01700-140981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对擅自设立互联网上网服务营业场所，或者擅自从事互联网上网服务经营活动的取缔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【行政法规】《互联网上网服务营业场所管理条例》（国务院令第588号）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第二十七条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3" name="图片 3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4" name="图片 3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1900-C-01800-140981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对擅自设立演出场所经营单位或者擅自从事营业性演出经营活动的取缔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【行政法规】《营业性演出管理条例》（国务院令第439号）</w:t>
            </w:r>
          </w:p>
          <w:p w:rsidR="00BE1D4D" w:rsidRPr="00DE6D3B" w:rsidRDefault="00BE1D4D" w:rsidP="00911021">
            <w:pPr>
              <w:spacing w:line="360" w:lineRule="exact"/>
              <w:rPr>
                <w:rFonts w:ascii="宋体" w:hAnsi="宋体" w:cs="Arial"/>
                <w:szCs w:val="21"/>
                <w:shd w:val="clear" w:color="auto" w:fill="FFFFFF"/>
              </w:rPr>
            </w:pPr>
            <w:r>
              <w:rPr>
                <w:rFonts w:ascii="宋体" w:hAnsi="宋体" w:hint="eastAsia"/>
                <w:sz w:val="18"/>
                <w:szCs w:val="18"/>
              </w:rPr>
              <w:t>第四十三条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5" name="图片 3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6" name="图片 3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1900-C-01900-140981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对对擅自设立印刷企业或者擅自从事印刷经营活动的取缔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【行政法规】《印刷业管理条例》（国务院令第315号）</w:t>
            </w:r>
          </w:p>
          <w:p w:rsidR="00BE1D4D" w:rsidRDefault="00BE1D4D" w:rsidP="00911021">
            <w:pPr>
              <w:spacing w:line="260" w:lineRule="exact"/>
              <w:rPr>
                <w:rFonts w:ascii="宋体" w:hAnsi="宋体"/>
                <w:sz w:val="18"/>
                <w:szCs w:val="18"/>
              </w:rPr>
            </w:pPr>
            <w:r>
              <w:rPr>
                <w:rFonts w:ascii="宋体" w:hAnsi="宋体" w:hint="eastAsia"/>
                <w:sz w:val="18"/>
                <w:szCs w:val="18"/>
              </w:rPr>
              <w:t>第三十四条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7" name="图片 3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8" name="图片 3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1900-C-02000-140981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对擅自设立出版物的出版、印刷或者复制、进口、发行单位，或者擅自从事出版物的出版、印刷或者复制、进口、发行业务，假冒出版单位名称或者伪造、假冒报纸、期刊名称出版出版物的取缔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【行政法规】《出版管理条例》（国务院令第343号）</w:t>
            </w:r>
          </w:p>
          <w:p w:rsidR="00BE1D4D" w:rsidRDefault="00BE1D4D" w:rsidP="00911021">
            <w:pPr>
              <w:spacing w:line="260" w:lineRule="exact"/>
              <w:rPr>
                <w:rFonts w:ascii="宋体" w:hAnsi="宋体"/>
                <w:sz w:val="18"/>
                <w:szCs w:val="18"/>
              </w:rPr>
            </w:pPr>
            <w:r>
              <w:rPr>
                <w:rFonts w:ascii="宋体" w:hAnsi="宋体" w:hint="eastAsia"/>
                <w:sz w:val="18"/>
                <w:szCs w:val="18"/>
              </w:rPr>
              <w:t>第六十一条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9" name="图片 3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 name="图片 4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1900-C-02100-140981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对擅自设立电影片的制片、发行、放映单位，或者擅自从事电影制片、进口、发行、放映活动的取缔</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【行政法规】《电影管理条例》（2001年国务院令第342号）</w:t>
            </w:r>
          </w:p>
          <w:p w:rsidR="00BE1D4D" w:rsidRDefault="00BE1D4D" w:rsidP="00911021">
            <w:pPr>
              <w:spacing w:line="260" w:lineRule="exact"/>
              <w:rPr>
                <w:rFonts w:ascii="宋体" w:hAnsi="宋体"/>
                <w:sz w:val="18"/>
                <w:szCs w:val="18"/>
              </w:rPr>
            </w:pPr>
            <w:r>
              <w:rPr>
                <w:rFonts w:ascii="宋体" w:hAnsi="宋体" w:hint="eastAsia"/>
                <w:sz w:val="18"/>
                <w:szCs w:val="18"/>
              </w:rPr>
              <w:t>第五十五条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1" name="图片 4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2" name="图片 4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对非法生产、经营、购买、运输易制毒化学品，或者走私易制毒化学品的证据材料和违法物品的扣押或临时查封有关场所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【行政法规】《易制毒化学品管理条例》（国务院令第445号）</w:t>
            </w:r>
          </w:p>
          <w:p w:rsidR="00BE1D4D" w:rsidRDefault="00BE1D4D" w:rsidP="00911021">
            <w:pPr>
              <w:spacing w:line="260" w:lineRule="exact"/>
              <w:rPr>
                <w:rFonts w:ascii="宋体" w:hAnsi="宋体"/>
                <w:sz w:val="18"/>
                <w:szCs w:val="18"/>
              </w:rPr>
            </w:pPr>
            <w:r>
              <w:rPr>
                <w:rFonts w:ascii="宋体" w:hAnsi="宋体" w:hint="eastAsia"/>
                <w:sz w:val="18"/>
                <w:szCs w:val="18"/>
              </w:rPr>
              <w:t>第三十二条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3" name="图片 4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4" name="图片 4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1900-C-02300-140981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对有证据表明属于违反本条例生产、销售或者在经营活动中使用的列入目录产品予以查封或者扣押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【行政法规】《中华人民共和国工业产品生产许可证管理条例》（国务院令第440号）</w:t>
            </w:r>
          </w:p>
          <w:p w:rsidR="00BE1D4D" w:rsidRDefault="00BE1D4D" w:rsidP="00911021">
            <w:pPr>
              <w:spacing w:line="260" w:lineRule="exact"/>
              <w:rPr>
                <w:rFonts w:ascii="宋体" w:hAnsi="宋体"/>
                <w:sz w:val="18"/>
                <w:szCs w:val="18"/>
              </w:rPr>
            </w:pPr>
            <w:r>
              <w:rPr>
                <w:rFonts w:ascii="宋体" w:hAnsi="宋体" w:hint="eastAsia"/>
                <w:sz w:val="18"/>
                <w:szCs w:val="18"/>
              </w:rPr>
              <w:t>第三十七条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917" name="图片 391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918" name="图片 391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1900-C-02400-140981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对涉嫌与违法广告直接相关的广告物品、经营工具、设备等财物的查封、扣押</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hint="eastAsia"/>
                <w:sz w:val="18"/>
                <w:szCs w:val="18"/>
              </w:rPr>
              <w:t>【法律】《中华人民共和国广告法》（2015年修订）</w:t>
            </w:r>
          </w:p>
          <w:p w:rsidR="00BE1D4D" w:rsidRDefault="00BE1D4D" w:rsidP="00911021">
            <w:pPr>
              <w:spacing w:line="260" w:lineRule="exact"/>
              <w:rPr>
                <w:rFonts w:ascii="宋体" w:hAnsi="宋体"/>
                <w:sz w:val="18"/>
                <w:szCs w:val="18"/>
              </w:rPr>
            </w:pPr>
            <w:r>
              <w:rPr>
                <w:rFonts w:ascii="宋体" w:hAnsi="宋体" w:hint="eastAsia"/>
                <w:sz w:val="18"/>
                <w:szCs w:val="18"/>
              </w:rPr>
              <w:t>第四十九条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1．审批责任：实施前须填写《行政处罚有关事项审批表》向负责人报告并经批准。情况紧急，需要当场实施的，应三当在24小时内向负责人报告，并补办批准手续。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2．实施责任：由两名以上持有《工商行政管理执法证》人员实施行政强制措施，通知当事人到场，出示执法证件。制作现场笔录，并由当事人和执法人员签名或者盖章，当时拒绝签名的，在笔录中予以说明。当事人拒不到场的，邀请见证人到场，并由见证人和执法人员签名或盖章。扣押当事人托运的物品，应当通知有关运输部门协助办理，并书面通知当事人。对当事人家</w:t>
            </w:r>
            <w:proofErr w:type="gramStart"/>
            <w:r>
              <w:rPr>
                <w:rFonts w:ascii="宋体" w:hAnsi="宋体" w:hint="eastAsia"/>
                <w:spacing w:val="-10"/>
                <w:sz w:val="18"/>
                <w:szCs w:val="18"/>
              </w:rPr>
              <w:t>存或者</w:t>
            </w:r>
            <w:proofErr w:type="gramEnd"/>
            <w:r>
              <w:rPr>
                <w:rFonts w:ascii="宋体" w:hAnsi="宋体" w:hint="eastAsia"/>
                <w:spacing w:val="-10"/>
                <w:sz w:val="18"/>
                <w:szCs w:val="18"/>
              </w:rPr>
              <w:t>寄存的涉嫌违法物品，需要扣押的，责令当事人取出；当事人拒绝取出的，应当会同公安等有关部门将其取出，并办理扣押手续。</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3．告知责任：当场告知当事人采取行政强制措施的理由、依据以及当事人依法享有的陈述、申辩权利，告知当事人有申请行政复议和提起行政诉讼的权利。对需要延长查封、扣押期限的应当书面告知当事人并说明理由。对物品需要鉴定、检测、检验或者技术鉴定的，应当书面告知当事人需要的期间。</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4．决定责任：应当根据情况分别制作实施查封、扣押决定书和(场所、设置、财物)清单。需要鉴定、检测、检验或者技术鉴定的制作(检测、检验、检疫、技术鉴定)期间告知书。需要延长期限的，制作延长(查封、扣押)期限通知书。</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5．送达责任：将相关法律文书依法送达当事人。</w:t>
            </w:r>
          </w:p>
          <w:p w:rsidR="00BE1D4D" w:rsidRDefault="00BE1D4D" w:rsidP="00911021">
            <w:pPr>
              <w:spacing w:line="240" w:lineRule="exact"/>
              <w:ind w:left="240" w:hangingChars="150" w:hanging="240"/>
              <w:rPr>
                <w:rFonts w:ascii="宋体" w:hAnsi="宋体"/>
                <w:spacing w:val="-10"/>
                <w:sz w:val="18"/>
                <w:szCs w:val="18"/>
              </w:rPr>
            </w:pPr>
            <w:r>
              <w:rPr>
                <w:rFonts w:ascii="宋体" w:hAnsi="宋体" w:hint="eastAsia"/>
                <w:spacing w:val="-10"/>
                <w:sz w:val="18"/>
                <w:szCs w:val="18"/>
              </w:rPr>
              <w:t>6．事后监管责任：应当妥善保管查封、扣押的财物，严禁动用、调换、损毁。及时查清事实，在规定期限内</w:t>
            </w:r>
            <w:proofErr w:type="gramStart"/>
            <w:r>
              <w:rPr>
                <w:rFonts w:ascii="宋体" w:hAnsi="宋体" w:hint="eastAsia"/>
                <w:spacing w:val="-10"/>
                <w:sz w:val="18"/>
                <w:szCs w:val="18"/>
              </w:rPr>
              <w:t>作出</w:t>
            </w:r>
            <w:proofErr w:type="gramEnd"/>
            <w:r>
              <w:rPr>
                <w:rFonts w:ascii="宋体" w:hAnsi="宋体" w:hint="eastAsia"/>
                <w:spacing w:val="-10"/>
                <w:sz w:val="18"/>
                <w:szCs w:val="18"/>
              </w:rPr>
              <w:t>处理决定。</w:t>
            </w:r>
          </w:p>
          <w:p w:rsidR="00BE1D4D" w:rsidRPr="00DE6D3B" w:rsidRDefault="00BE1D4D" w:rsidP="00911021">
            <w:pPr>
              <w:spacing w:line="280" w:lineRule="exact"/>
              <w:rPr>
                <w:rFonts w:ascii="宋体"/>
                <w:sz w:val="18"/>
                <w:szCs w:val="18"/>
              </w:rPr>
            </w:pPr>
            <w:r>
              <w:rPr>
                <w:rFonts w:ascii="宋体" w:hAnsi="宋体" w:hint="eastAsia"/>
                <w:spacing w:val="-10"/>
                <w:sz w:val="18"/>
                <w:szCs w:val="18"/>
              </w:rPr>
              <w:t>7．其他：法律</w:t>
            </w:r>
            <w:proofErr w:type="gramStart"/>
            <w:r>
              <w:rPr>
                <w:rFonts w:ascii="宋体" w:hAnsi="宋体" w:hint="eastAsia"/>
                <w:spacing w:val="-10"/>
                <w:sz w:val="18"/>
                <w:szCs w:val="18"/>
              </w:rPr>
              <w:t>法规法规</w:t>
            </w:r>
            <w:proofErr w:type="gramEnd"/>
            <w:r>
              <w:rPr>
                <w:rFonts w:ascii="宋体" w:hAnsi="宋体" w:hint="eastAsia"/>
                <w:spacing w:val="-10"/>
                <w:sz w:val="18"/>
                <w:szCs w:val="18"/>
              </w:rPr>
              <w:t>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《中华人民共和国行政强制法》第六十一条——六十四条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《中华人民共和国行政复议 法》第三十四条——三十八条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《山西省行政执法条例》第四十条——第四十二条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《中华人民共和国公务员法》</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五十三条、五十四条、五十五条、一百零一条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《行政机关公务员处分条例》(国务令第495号)第十九条——第二十一条、第二十三条、第二十五条、第二十八条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《中华人民共和国政府信息公开条例》第三十五条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《中华人民共和国公司登记管理条例》第七十六条、第七十七条</w:t>
            </w:r>
          </w:p>
          <w:p w:rsidR="00BE1D4D" w:rsidRDefault="00BE1D4D" w:rsidP="00911021">
            <w:pPr>
              <w:spacing w:line="240" w:lineRule="exact"/>
              <w:rPr>
                <w:rFonts w:ascii="宋体" w:hAnsi="宋体"/>
                <w:spacing w:val="-6"/>
                <w:sz w:val="18"/>
                <w:szCs w:val="18"/>
              </w:rPr>
            </w:pPr>
            <w:r>
              <w:rPr>
                <w:rFonts w:ascii="宋体" w:hAnsi="宋体" w:hint="eastAsia"/>
                <w:spacing w:val="-6"/>
                <w:sz w:val="18"/>
                <w:szCs w:val="18"/>
              </w:rPr>
              <w:t>《中国共产党纪律处分条例》</w:t>
            </w:r>
          </w:p>
          <w:p w:rsidR="00BE1D4D" w:rsidRDefault="00BE1D4D" w:rsidP="00911021">
            <w:pPr>
              <w:spacing w:line="280" w:lineRule="exact"/>
              <w:rPr>
                <w:rFonts w:ascii="宋体"/>
                <w:sz w:val="18"/>
                <w:szCs w:val="18"/>
              </w:rPr>
            </w:pPr>
            <w:r>
              <w:rPr>
                <w:rFonts w:ascii="宋体" w:hAnsi="宋体" w:hint="eastAsia"/>
                <w:bCs/>
                <w:color w:val="000000"/>
                <w:spacing w:val="-6"/>
                <w:sz w:val="18"/>
                <w:szCs w:val="18"/>
              </w:rPr>
              <w:t>其他</w:t>
            </w:r>
            <w:r>
              <w:rPr>
                <w:rFonts w:ascii="宋体" w:hAnsi="宋体" w:hint="eastAsia"/>
                <w:color w:val="000000"/>
                <w:spacing w:val="-6"/>
                <w:sz w:val="18"/>
                <w:szCs w:val="18"/>
              </w:rPr>
              <w:t>违反有关法律法规规章文件规定的行为</w:t>
            </w:r>
            <w:r>
              <w:rPr>
                <w:rFonts w:ascii="宋体" w:hAnsi="宋体" w:hint="eastAsia"/>
                <w:sz w:val="18"/>
                <w:szCs w:val="18"/>
              </w:rPr>
              <w:t>第二十三条、第二十五条</w:t>
            </w:r>
          </w:p>
          <w:p w:rsidR="00BE1D4D" w:rsidRDefault="00BE1D4D" w:rsidP="00911021">
            <w:pPr>
              <w:spacing w:line="280" w:lineRule="exact"/>
              <w:rPr>
                <w:rFonts w:ascii="宋体"/>
                <w:sz w:val="18"/>
                <w:szCs w:val="18"/>
              </w:rPr>
            </w:pPr>
            <w:r>
              <w:rPr>
                <w:rFonts w:ascii="宋体" w:hAnsi="宋体" w:hint="eastAsia"/>
                <w:sz w:val="18"/>
                <w:szCs w:val="18"/>
              </w:rPr>
              <w:t>第二十八条</w:t>
            </w:r>
          </w:p>
          <w:p w:rsidR="00BE1D4D" w:rsidRDefault="00BE1D4D" w:rsidP="00911021">
            <w:pPr>
              <w:spacing w:line="280" w:lineRule="exact"/>
              <w:rPr>
                <w:rFonts w:ascii="宋体"/>
                <w:sz w:val="18"/>
                <w:szCs w:val="18"/>
              </w:rPr>
            </w:pPr>
            <w:r>
              <w:rPr>
                <w:rFonts w:ascii="宋体" w:hAnsi="宋体" w:hint="eastAsia"/>
                <w:sz w:val="18"/>
                <w:szCs w:val="18"/>
              </w:rPr>
              <w:t>《中华人民共和国政府信息公开条例》第三十五条</w:t>
            </w:r>
          </w:p>
          <w:p w:rsidR="00BE1D4D" w:rsidRDefault="00BE1D4D" w:rsidP="00911021">
            <w:pPr>
              <w:spacing w:line="280" w:lineRule="exact"/>
              <w:rPr>
                <w:rFonts w:ascii="宋体"/>
                <w:sz w:val="18"/>
                <w:szCs w:val="18"/>
              </w:rPr>
            </w:pPr>
            <w:r>
              <w:rPr>
                <w:rFonts w:ascii="宋体" w:hAnsi="宋体" w:hint="eastAsia"/>
                <w:sz w:val="18"/>
                <w:szCs w:val="18"/>
              </w:rPr>
              <w:lastRenderedPageBreak/>
              <w:t>第三十一条、三十二条</w:t>
            </w:r>
          </w:p>
          <w:p w:rsidR="00BE1D4D" w:rsidRDefault="00BE1D4D" w:rsidP="00911021">
            <w:pPr>
              <w:spacing w:line="280" w:lineRule="exact"/>
              <w:rPr>
                <w:rFonts w:ascii="宋体"/>
                <w:sz w:val="18"/>
                <w:szCs w:val="18"/>
              </w:rPr>
            </w:pPr>
            <w:r>
              <w:rPr>
                <w:rFonts w:ascii="宋体" w:hAnsi="宋体" w:hint="eastAsia"/>
                <w:sz w:val="18"/>
                <w:szCs w:val="18"/>
              </w:rPr>
              <w:t>第三十三条</w:t>
            </w:r>
          </w:p>
          <w:p w:rsidR="00BE1D4D" w:rsidRDefault="00BE1D4D" w:rsidP="00911021">
            <w:pPr>
              <w:spacing w:line="280" w:lineRule="exact"/>
              <w:rPr>
                <w:rFonts w:ascii="宋体"/>
                <w:sz w:val="18"/>
                <w:szCs w:val="18"/>
              </w:rPr>
            </w:pPr>
            <w:r>
              <w:rPr>
                <w:rFonts w:ascii="宋体" w:hAnsi="宋体" w:hint="eastAsia"/>
                <w:sz w:val="18"/>
                <w:szCs w:val="18"/>
              </w:rPr>
              <w:t>《中国共产党纪律处分条例》</w:t>
            </w:r>
          </w:p>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919" name="图片 391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920" name="图片 392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1900-C-02500-140981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查封、扣押有证据证明可能危害人体健康的药品及其有关材料</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【法律】《中华人民共和国药品管理法》第六十四条  【行政法规】《中华人民共和国药品管理法实施条例》（国务院令第360号）第六十条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3921" name="图片 392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3922" name="图片 392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1900-C-02600-140981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查封、扣押不符合要求的医疗器械、零配件、原材料及其生产工具，查封违反规定从事医疗器械生产经营活动的场所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【行政法规】《医疗器械监督管理条例》（国务院令第650号）第五十四条。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07" name="图片 400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08" name="图片 400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1900-C-02700-140981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不符合食品安全标准的食品，违法使用的食品原料、食品添加剂、食品相关产品，以及用于违法生产经营或者被污染的工具、设备，有关合同、票据、账簿以及其他有关资料或查封违法从事食品生产经营活动的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tabs>
                <w:tab w:val="left" w:pos="7937"/>
              </w:tabs>
              <w:rPr>
                <w:rFonts w:ascii="宋体" w:hAnsi="宋体" w:cs="宋体"/>
                <w:sz w:val="18"/>
                <w:szCs w:val="18"/>
              </w:rPr>
            </w:pPr>
            <w:r>
              <w:rPr>
                <w:rFonts w:ascii="宋体" w:hAnsi="宋体" w:cs="宋体" w:hint="eastAsia"/>
                <w:sz w:val="18"/>
                <w:szCs w:val="18"/>
              </w:rPr>
              <w:t>【法律】《中华人民共和国食品安全法》第一百一十条</w:t>
            </w:r>
          </w:p>
          <w:p w:rsidR="00BE1D4D" w:rsidRDefault="00BE1D4D" w:rsidP="00911021">
            <w:pPr>
              <w:spacing w:line="260" w:lineRule="exact"/>
              <w:rPr>
                <w:rFonts w:ascii="宋体" w:hAnsi="宋体"/>
                <w:sz w:val="18"/>
                <w:szCs w:val="18"/>
              </w:rPr>
            </w:pPr>
            <w:r>
              <w:rPr>
                <w:rFonts w:ascii="宋体" w:hAnsi="宋体" w:cs="宋体" w:hint="eastAsia"/>
                <w:sz w:val="18"/>
                <w:szCs w:val="18"/>
              </w:rPr>
              <w:t>【行政法规】《国务院关于加强食品等产品安全监督管理的特别规定》(国务院令第503号)第十五条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09" name="图片 400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10" name="图片 401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1900-C-02800-140981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查封、扣押存在安全隐患的麻醉药品和精神药品</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【行政法规】《麻醉药品和精神药品管理条例》（国务院令第442号）第六十条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11" name="图片 401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12" name="图片 401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1900-C-02900-140981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查封、扣押有关合同、票据、账簿以及其他有关资料；不符合法定要求的产品，违法使用的原料、辅料、添加剂以及用于违法生产的工具、设备；查封存在危害人体健康和生命安全重大隐患的生产经营场所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【行政法规】《国务院关于加强食品等产品安全监督管理的特别规定》(国务院令第503号)第十五条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13" name="图片 401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14" name="图片 401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1900-C-03000-140981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查封、扣押有证据证明可能危害人体健康的疫苗及其有关材料</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【行政法规】《疫苗流通和预防接种管理条例》(国务院令第434号)第四十九条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15" name="图片 401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16" name="图片 401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1900-C-03100-140981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扣押易制毒化学品监督检查时发现的相关的证据材料和违法物品，临时查封有关场所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【行政法规】《易制毒化学品管理条例》（国务院令第445号）第三十二条。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17" name="图片 401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18" name="图片 401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8A1882" w:rsidRDefault="00BE1D4D" w:rsidP="00911021">
            <w:pPr>
              <w:spacing w:line="260" w:lineRule="exact"/>
              <w:rPr>
                <w:rFonts w:ascii="宋体" w:hAnsi="宋体"/>
                <w:sz w:val="18"/>
                <w:szCs w:val="18"/>
              </w:rPr>
            </w:pPr>
            <w:r>
              <w:rPr>
                <w:rFonts w:ascii="宋体" w:hAnsi="宋体" w:hint="eastAsia"/>
                <w:sz w:val="18"/>
                <w:szCs w:val="18"/>
              </w:rPr>
              <w:t>1900-C-03200-140981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查封、扣押未按规定使用低温、冷藏设施设备运输和储存的药品</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spacing w:line="260" w:lineRule="exact"/>
              <w:rPr>
                <w:rFonts w:ascii="宋体" w:hAnsi="宋体"/>
                <w:sz w:val="18"/>
                <w:szCs w:val="18"/>
              </w:rPr>
            </w:pPr>
            <w:r>
              <w:rPr>
                <w:rFonts w:ascii="宋体" w:hAnsi="宋体" w:cs="宋体" w:hint="eastAsia"/>
                <w:sz w:val="18"/>
                <w:szCs w:val="18"/>
              </w:rPr>
              <w:t>【部门规章】《药品流通监督管理办法》（2007年国家食品药品</w:t>
            </w:r>
            <w:proofErr w:type="gramStart"/>
            <w:r>
              <w:rPr>
                <w:rFonts w:ascii="宋体" w:hAnsi="宋体" w:cs="宋体" w:hint="eastAsia"/>
                <w:sz w:val="18"/>
                <w:szCs w:val="18"/>
              </w:rPr>
              <w:t>监管局令第26号</w:t>
            </w:r>
            <w:proofErr w:type="gramEnd"/>
            <w:r>
              <w:rPr>
                <w:rFonts w:ascii="宋体" w:hAnsi="宋体" w:cs="宋体" w:hint="eastAsia"/>
                <w:sz w:val="18"/>
                <w:szCs w:val="18"/>
              </w:rPr>
              <w:t>）第十九条</w:t>
            </w:r>
          </w:p>
        </w:tc>
      </w:tr>
      <w:tr w:rsidR="00BE1D4D"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Pr="00791F7B" w:rsidRDefault="00BE1D4D" w:rsidP="00911021">
            <w:pPr>
              <w:tabs>
                <w:tab w:val="left" w:pos="7937"/>
              </w:tabs>
              <w:rPr>
                <w:rFonts w:ascii="宋体" w:hAnsi="宋体" w:cs="宋体"/>
                <w:kern w:val="1"/>
                <w:sz w:val="18"/>
                <w:szCs w:val="18"/>
              </w:rPr>
            </w:pPr>
            <w:r>
              <w:rPr>
                <w:rFonts w:ascii="宋体" w:hAnsi="宋体" w:cs="宋体" w:hint="eastAsia"/>
                <w:b/>
                <w:bCs/>
                <w:sz w:val="18"/>
                <w:szCs w:val="18"/>
              </w:rPr>
              <w:t>1、决定责任</w:t>
            </w:r>
            <w:r>
              <w:rPr>
                <w:rFonts w:ascii="宋体" w:hAnsi="宋体" w:cs="宋体" w:hint="eastAsia"/>
                <w:sz w:val="18"/>
                <w:szCs w:val="18"/>
              </w:rPr>
              <w:t>：食品药品监管部门实施对有证据证明可能危害人体健康的药品及其有关材料的查封、扣押行政强制措施的执法人员应向机关负责人报告并经批准，如遇有紧急情况，需当场采取行政强制措施的，行政执法人员应当在二十四小时向机关负责人报告，补办批准手续。</w:t>
            </w:r>
            <w:r>
              <w:rPr>
                <w:rFonts w:ascii="宋体" w:hAnsi="宋体" w:cs="宋体" w:hint="eastAsia"/>
                <w:sz w:val="18"/>
                <w:szCs w:val="18"/>
              </w:rPr>
              <w:br/>
              <w:t>2、</w:t>
            </w:r>
            <w:r>
              <w:rPr>
                <w:rFonts w:ascii="宋体" w:hAnsi="宋体" w:cs="宋体" w:hint="eastAsia"/>
                <w:b/>
                <w:bCs/>
                <w:sz w:val="18"/>
                <w:szCs w:val="18"/>
              </w:rPr>
              <w:t>告知责任</w:t>
            </w:r>
            <w:r>
              <w:rPr>
                <w:rFonts w:ascii="宋体" w:hAnsi="宋体" w:cs="宋体" w:hint="eastAsia"/>
                <w:sz w:val="18"/>
                <w:szCs w:val="18"/>
              </w:rPr>
              <w:t>：食品药品执法人员当场告知当事人采取强制措施的理由、依据以及当事人依法享有的权利、救济途径。</w:t>
            </w:r>
            <w:r>
              <w:rPr>
                <w:rFonts w:ascii="宋体" w:hAnsi="宋体" w:cs="宋体" w:hint="eastAsia"/>
                <w:sz w:val="18"/>
                <w:szCs w:val="18"/>
              </w:rPr>
              <w:br/>
              <w:t>3、</w:t>
            </w:r>
            <w:r>
              <w:rPr>
                <w:rFonts w:ascii="宋体" w:hAnsi="宋体" w:cs="宋体" w:hint="eastAsia"/>
                <w:b/>
                <w:bCs/>
                <w:sz w:val="18"/>
                <w:szCs w:val="18"/>
              </w:rPr>
              <w:t>执行责任</w:t>
            </w:r>
            <w:r>
              <w:rPr>
                <w:rFonts w:ascii="宋体" w:hAnsi="宋体" w:cs="宋体" w:hint="eastAsia"/>
                <w:sz w:val="18"/>
                <w:szCs w:val="18"/>
              </w:rPr>
              <w:t>：由2名以上食品药品行政执法人员实施，在实施行政强制的现场，应通知当事人到现场，出示执法证件，同时制作现场笔录。当事人不到现场的，请见证人到场，由见证人和行政执法人员在现场笔录上签名或者盖章，当事人拒绝在现场笔录上签字的，在笔录中应予以注明；执法人员应当制作文书并当场交付查封、扣押决定书和清单，查封、扣押清单一式二份，由当事人和行政机关执法人员各自保存。</w:t>
            </w:r>
            <w:r>
              <w:rPr>
                <w:rFonts w:ascii="宋体" w:hAnsi="宋体" w:cs="宋体" w:hint="eastAsia"/>
                <w:sz w:val="18"/>
                <w:szCs w:val="18"/>
              </w:rPr>
              <w:br/>
              <w:t>4、</w:t>
            </w:r>
            <w:r>
              <w:rPr>
                <w:rFonts w:ascii="宋体" w:hAnsi="宋体" w:cs="宋体" w:hint="eastAsia"/>
                <w:b/>
                <w:bCs/>
                <w:sz w:val="18"/>
                <w:szCs w:val="18"/>
              </w:rPr>
              <w:t>事后监管责任</w:t>
            </w:r>
            <w:r>
              <w:rPr>
                <w:rFonts w:ascii="宋体" w:hAnsi="宋体" w:cs="宋体" w:hint="eastAsia"/>
                <w:sz w:val="18"/>
                <w:szCs w:val="18"/>
              </w:rPr>
              <w:t>：食品药品监管部门对扣押的物品妥善保管。</w:t>
            </w:r>
            <w:r>
              <w:rPr>
                <w:rFonts w:ascii="宋体" w:hAnsi="宋体" w:cs="宋体" w:hint="eastAsia"/>
                <w:sz w:val="18"/>
                <w:szCs w:val="18"/>
              </w:rPr>
              <w:br/>
              <w:t>5、</w:t>
            </w:r>
            <w:r>
              <w:rPr>
                <w:rFonts w:ascii="宋体" w:hAnsi="宋体" w:cs="宋体" w:hint="eastAsia"/>
                <w:b/>
                <w:kern w:val="1"/>
                <w:sz w:val="18"/>
                <w:szCs w:val="18"/>
              </w:rPr>
              <w:t>其他责任：</w:t>
            </w:r>
            <w:r>
              <w:rPr>
                <w:rFonts w:ascii="宋体" w:hAnsi="宋体" w:cs="宋体" w:hint="eastAsia"/>
                <w:bCs/>
                <w:kern w:val="1"/>
                <w:sz w:val="18"/>
                <w:szCs w:val="18"/>
              </w:rPr>
              <w:t>其他</w:t>
            </w:r>
            <w:r>
              <w:rPr>
                <w:rFonts w:ascii="宋体" w:hAnsi="宋体" w:cs="宋体" w:hint="eastAsia"/>
                <w:kern w:val="1"/>
                <w:sz w:val="18"/>
                <w:szCs w:val="18"/>
              </w:rPr>
              <w:t>法律法规规章文件规定应履行的责任。</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rPr>
                <w:rFonts w:ascii="宋体" w:hAnsi="宋体" w:cs="宋体"/>
                <w:sz w:val="18"/>
                <w:szCs w:val="18"/>
              </w:rPr>
            </w:pPr>
            <w:r>
              <w:rPr>
                <w:rFonts w:ascii="宋体" w:hAnsi="宋体" w:cs="宋体" w:hint="eastAsia"/>
                <w:sz w:val="18"/>
                <w:szCs w:val="18"/>
              </w:rPr>
              <w:t>【法律】《行政处罚法》第五十五条、第五十六条至第六十二条；《中华人民共和国公务员法》第五十三、五十六、一百零六条；</w:t>
            </w:r>
          </w:p>
          <w:p w:rsidR="00BE1D4D" w:rsidRDefault="00BE1D4D" w:rsidP="00911021">
            <w:pPr>
              <w:rPr>
                <w:rFonts w:ascii="宋体" w:hAnsi="宋体" w:cs="宋体"/>
                <w:sz w:val="18"/>
                <w:szCs w:val="18"/>
              </w:rPr>
            </w:pPr>
            <w:r>
              <w:rPr>
                <w:rFonts w:ascii="宋体" w:hAnsi="宋体" w:cs="宋体" w:hint="eastAsia"/>
                <w:sz w:val="18"/>
                <w:szCs w:val="18"/>
              </w:rPr>
              <w:t>【行政法规】 《行政机关公务员处分条例》（国务院第495号令）；</w:t>
            </w:r>
          </w:p>
          <w:p w:rsidR="00BE1D4D" w:rsidRDefault="00BE1D4D" w:rsidP="00911021">
            <w:pPr>
              <w:rPr>
                <w:rFonts w:ascii="宋体" w:hAnsi="宋体" w:cs="宋体"/>
                <w:sz w:val="18"/>
                <w:szCs w:val="18"/>
              </w:rPr>
            </w:pPr>
            <w:r>
              <w:rPr>
                <w:rFonts w:ascii="宋体" w:hAnsi="宋体" w:cs="宋体" w:hint="eastAsia"/>
                <w:sz w:val="18"/>
                <w:szCs w:val="18"/>
              </w:rPr>
              <w:t>【部门规章】《事业单位工作人员处分暂行规定》（</w:t>
            </w:r>
            <w:proofErr w:type="gramStart"/>
            <w:r>
              <w:rPr>
                <w:rFonts w:ascii="宋体" w:hAnsi="宋体" w:cs="宋体" w:hint="eastAsia"/>
                <w:sz w:val="18"/>
                <w:szCs w:val="18"/>
              </w:rPr>
              <w:t>人社部</w:t>
            </w:r>
            <w:proofErr w:type="gramEnd"/>
            <w:r>
              <w:rPr>
                <w:rFonts w:ascii="宋体" w:hAnsi="宋体" w:cs="宋体" w:hint="eastAsia"/>
                <w:sz w:val="18"/>
                <w:szCs w:val="18"/>
              </w:rPr>
              <w:t>、监察部18号令）；</w:t>
            </w:r>
          </w:p>
          <w:p w:rsidR="00BE1D4D" w:rsidRDefault="00BE1D4D" w:rsidP="00911021">
            <w:pPr>
              <w:rPr>
                <w:rFonts w:ascii="宋体" w:hAnsi="宋体" w:cs="宋体"/>
                <w:sz w:val="18"/>
                <w:szCs w:val="18"/>
              </w:rPr>
            </w:pPr>
            <w:r>
              <w:rPr>
                <w:rFonts w:ascii="宋体" w:hAnsi="宋体" w:cs="宋体" w:hint="eastAsia"/>
                <w:sz w:val="18"/>
                <w:szCs w:val="18"/>
              </w:rPr>
              <w:t>【党内法规】《中国共产党纪律处分条例》；</w:t>
            </w:r>
          </w:p>
          <w:p w:rsidR="00BE1D4D" w:rsidRDefault="00BE1D4D" w:rsidP="00911021">
            <w:pPr>
              <w:spacing w:line="280" w:lineRule="exact"/>
              <w:rPr>
                <w:rFonts w:ascii="宋体"/>
                <w:sz w:val="18"/>
                <w:szCs w:val="18"/>
              </w:rPr>
            </w:pPr>
            <w:r>
              <w:rPr>
                <w:rFonts w:ascii="宋体" w:hAnsi="宋体" w:cs="宋体" w:hint="eastAsia"/>
                <w:kern w:val="1"/>
                <w:sz w:val="18"/>
                <w:szCs w:val="18"/>
              </w:rPr>
              <w:t>【</w:t>
            </w:r>
            <w:r>
              <w:rPr>
                <w:rFonts w:ascii="宋体" w:hAnsi="宋体" w:cs="宋体" w:hint="eastAsia"/>
                <w:sz w:val="18"/>
                <w:szCs w:val="18"/>
              </w:rPr>
              <w:t>其他</w:t>
            </w:r>
            <w:r>
              <w:rPr>
                <w:rFonts w:ascii="宋体" w:hAnsi="宋体" w:cs="宋体" w:hint="eastAsia"/>
                <w:kern w:val="1"/>
                <w:sz w:val="18"/>
                <w:szCs w:val="18"/>
              </w:rPr>
              <w:t>】</w:t>
            </w:r>
            <w:r>
              <w:rPr>
                <w:rFonts w:ascii="宋体" w:hAnsi="宋体" w:cs="宋体" w:hint="eastAsia"/>
                <w:sz w:val="18"/>
                <w:szCs w:val="18"/>
              </w:rPr>
              <w:t>其它违反法律法规规章文件规定的行为。</w:t>
            </w:r>
            <w:r>
              <w:rPr>
                <w:rFonts w:ascii="宋体" w:hAnsi="宋体" w:hint="eastAsia"/>
                <w:sz w:val="18"/>
                <w:szCs w:val="18"/>
              </w:rPr>
              <w:t>第三十一条、三十二条、第三十三条</w:t>
            </w:r>
          </w:p>
          <w:p w:rsidR="00BE1D4D" w:rsidRDefault="00BE1D4D" w:rsidP="00911021">
            <w:pPr>
              <w:spacing w:line="280" w:lineRule="exact"/>
              <w:rPr>
                <w:rFonts w:ascii="微软雅黑" w:eastAsia="微软雅黑" w:hAnsi="微软雅黑" w:cs="微软雅黑"/>
                <w:color w:val="000000"/>
                <w:szCs w:val="21"/>
              </w:rPr>
            </w:pPr>
            <w:r>
              <w:rPr>
                <w:rFonts w:ascii="宋体" w:hAnsi="宋体" w:hint="eastAsia"/>
                <w:sz w:val="18"/>
                <w:szCs w:val="18"/>
              </w:rPr>
              <w:t>《中国共产党纪律处分条例》其他违反有关法律法规规章文件规定的行</w:t>
            </w:r>
            <w:r>
              <w:rPr>
                <w:rFonts w:ascii="宋体" w:hAnsi="宋体" w:cs="宋体" w:hint="eastAsia"/>
                <w:kern w:val="1"/>
                <w:sz w:val="18"/>
                <w:szCs w:val="18"/>
              </w:rPr>
              <w:t>【</w:t>
            </w:r>
            <w:r>
              <w:rPr>
                <w:rFonts w:ascii="宋体" w:hAnsi="宋体" w:cs="宋体" w:hint="eastAsia"/>
                <w:sz w:val="18"/>
                <w:szCs w:val="18"/>
              </w:rPr>
              <w:t>其他】其他违反法律法规规章文件规定的行为。</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939540" cy="7071360"/>
                  <wp:effectExtent l="19050" t="0" r="3810" b="0"/>
                  <wp:docPr id="4019"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无标题"/>
                          <pic:cNvPicPr>
                            <a:picLocks noChangeAspect="1" noChangeArrowheads="1"/>
                          </pic:cNvPicPr>
                        </pic:nvPicPr>
                        <pic:blipFill>
                          <a:blip r:embed="rId4" cstate="print"/>
                          <a:srcRect/>
                          <a:stretch>
                            <a:fillRect/>
                          </a:stretch>
                        </pic:blipFill>
                        <pic:spPr bwMode="auto">
                          <a:xfrm>
                            <a:off x="0" y="0"/>
                            <a:ext cx="3939540" cy="7071360"/>
                          </a:xfrm>
                          <a:prstGeom prst="rect">
                            <a:avLst/>
                          </a:prstGeom>
                          <a:noFill/>
                          <a:ln w="9525">
                            <a:noFill/>
                            <a:miter lim="800000"/>
                            <a:headEnd/>
                            <a:tailEnd/>
                          </a:ln>
                        </pic:spPr>
                      </pic:pic>
                    </a:graphicData>
                  </a:graphic>
                </wp:inline>
              </w:drawing>
            </w:r>
          </w:p>
        </w:tc>
      </w:tr>
      <w:tr w:rsidR="00BE1D4D"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840480" cy="4541520"/>
                  <wp:effectExtent l="19050" t="0" r="7620" b="0"/>
                  <wp:docPr id="4020" name="图片 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无标题"/>
                          <pic:cNvPicPr>
                            <a:picLocks noChangeAspect="1" noChangeArrowheads="1"/>
                          </pic:cNvPicPr>
                        </pic:nvPicPr>
                        <pic:blipFill>
                          <a:blip r:embed="rId5" cstate="print"/>
                          <a:srcRect/>
                          <a:stretch>
                            <a:fillRect/>
                          </a:stretch>
                        </pic:blipFill>
                        <pic:spPr bwMode="auto">
                          <a:xfrm>
                            <a:off x="0" y="0"/>
                            <a:ext cx="3840480" cy="4541520"/>
                          </a:xfrm>
                          <a:prstGeom prst="rect">
                            <a:avLst/>
                          </a:prstGeom>
                          <a:noFill/>
                          <a:ln w="9525">
                            <a:noFill/>
                            <a:miter lim="800000"/>
                            <a:headEnd/>
                            <a:tailEnd/>
                          </a:ln>
                        </pic:spPr>
                      </pic:pic>
                    </a:graphicData>
                  </a:graphic>
                </wp:inline>
              </w:drawing>
            </w:r>
          </w:p>
        </w:tc>
      </w:tr>
    </w:tbl>
    <w:p w:rsidR="00BE1D4D" w:rsidRDefault="00BE1D4D" w:rsidP="00BE1D4D"/>
    <w:p w:rsidR="00BE1D4D" w:rsidRDefault="00BE1D4D" w:rsidP="00BE1D4D"/>
    <w:p w:rsidR="00BE1D4D" w:rsidRDefault="00BE1D4D" w:rsidP="00BE1D4D"/>
    <w:tbl>
      <w:tblPr>
        <w:tblpPr w:leftFromText="180" w:rightFromText="180" w:vertAnchor="page" w:horzAnchor="margin" w:tblpY="2185"/>
        <w:tblW w:w="15630"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001"/>
        <w:gridCol w:w="8909"/>
        <w:gridCol w:w="2951"/>
        <w:gridCol w:w="2769"/>
      </w:tblGrid>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1900-C-03400-140981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对违法生产经营涉及人体健康和生命安全有关的产品、有关物品以及生产场所的查封或扣押</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行政法规：</w:t>
            </w:r>
            <w:r>
              <w:rPr>
                <w:rFonts w:ascii="宋体" w:hAnsi="宋体" w:cs="宋体" w:hint="eastAsia"/>
                <w:kern w:val="0"/>
                <w:sz w:val="18"/>
                <w:szCs w:val="18"/>
              </w:rPr>
              <w:t>《国务院关于加强食品等产品安全监督管理的特别规定》（国务院令第503号）第十五条</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1.立案责任：在监督检查中或通过举报、投诉、其他部门移送、上级部门交办等途径发现的违法生产经营涉及人体健康和生命安全有关的产品、有关物品以及生产场所的违法行为线索，应当自发现之日起15日内组织核查，并决定是否立案。</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2.调查责任：对已经立案的案件，进行调查时，执法人员不得少于两人，与当事人有直接利害关系的应当回避。调查时应当出示执法证件，收集相关证据，允许当事人辩解陈述，执法人员应保守有关秘密。</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3.审查责任：案件承办机构提出拟处理意见，报批行政机关负责人决定是否予以查封或者扣押。</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4.告知责任：在做出行政强制决定时，通知当事人到场，当场告知当事人采取行政强制措施的理由、依据以及当事人依法享有的权利、救济途径，听取当事人的陈述和申辩，制作现场笔录。</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5.执行责任：制作并送达查封、扣押决定书和清单。妥善保存管理查封、扣押的场所、设施或者财物。产品质量违法行为调查处理结束整改完成，解除封存。</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6.其他：法律法规规章规定应履行的责任。</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《中华人民共和国行政强制法》第六十一条、第六十二条、第六十三条、第六十四条</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《中华人民共和国公务员法》</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《行政机关公务员处分条例》</w:t>
            </w:r>
          </w:p>
          <w:p w:rsidR="00BE1D4D" w:rsidRDefault="00BE1D4D" w:rsidP="00911021">
            <w:pPr>
              <w:widowControl/>
              <w:jc w:val="left"/>
              <w:rPr>
                <w:rFonts w:ascii="宋体" w:hAnsi="宋体" w:cs="宋体"/>
                <w:b/>
                <w:bCs/>
                <w:kern w:val="0"/>
                <w:sz w:val="18"/>
                <w:szCs w:val="18"/>
              </w:rPr>
            </w:pPr>
            <w:r>
              <w:rPr>
                <w:rFonts w:ascii="宋体" w:hAnsi="宋体" w:cs="宋体" w:hint="eastAsia"/>
                <w:kern w:val="0"/>
                <w:sz w:val="18"/>
                <w:szCs w:val="18"/>
              </w:rPr>
              <w:t>《事业单位人事管理条例》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地方性法规：</w:t>
            </w:r>
            <w:r>
              <w:rPr>
                <w:rFonts w:ascii="宋体" w:hAnsi="宋体" w:cs="宋体" w:hint="eastAsia"/>
                <w:kern w:val="0"/>
                <w:sz w:val="18"/>
                <w:szCs w:val="18"/>
              </w:rPr>
              <w:t>《山西省行政执法条例》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ind w:firstLineChars="1500" w:firstLine="3150"/>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r>
              <w:object w:dxaOrig="14355" w:dyaOrig="22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364.2pt" o:ole="">
                  <v:imagedata r:id="rId6" o:title=""/>
                </v:shape>
                <o:OLEObject Type="Embed" ProgID="Visio.Drawing.11" ShapeID="_x0000_i1025" DrawAspect="Content" ObjectID="_1595140879" r:id="rId7"/>
              </w:objec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17620" cy="5273040"/>
                  <wp:effectExtent l="19050" t="0" r="0" b="0"/>
                  <wp:docPr id="4023" name="图片 266" descr="行政强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行政强制"/>
                          <pic:cNvPicPr>
                            <a:picLocks noChangeAspect="1" noChangeArrowheads="1"/>
                          </pic:cNvPicPr>
                        </pic:nvPicPr>
                        <pic:blipFill>
                          <a:blip r:embed="rId8" cstate="print"/>
                          <a:srcRect/>
                          <a:stretch>
                            <a:fillRect/>
                          </a:stretch>
                        </pic:blipFill>
                        <pic:spPr bwMode="auto">
                          <a:xfrm>
                            <a:off x="0" y="0"/>
                            <a:ext cx="3817620" cy="5273040"/>
                          </a:xfrm>
                          <a:prstGeom prst="rect">
                            <a:avLst/>
                          </a:prstGeom>
                          <a:noFill/>
                          <a:ln w="9525">
                            <a:noFill/>
                            <a:miter lim="800000"/>
                            <a:headEnd/>
                            <a:tailEnd/>
                          </a:ln>
                        </pic:spPr>
                      </pic:pic>
                    </a:graphicData>
                  </a:graphic>
                </wp:inline>
              </w:drawing>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1900-C-03500-140981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对违规生产、销售或者在经营活动中使用的列入目录产品的查封或扣押</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《工业产品生产许可证管理条例》（国务院令第440号）第三十七条</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部门规章：</w:t>
            </w:r>
            <w:r>
              <w:rPr>
                <w:rFonts w:ascii="宋体" w:hAnsi="宋体" w:cs="宋体" w:hint="eastAsia"/>
                <w:kern w:val="0"/>
                <w:sz w:val="18"/>
                <w:szCs w:val="18"/>
              </w:rPr>
              <w:t>《工业产品生产许可证管理条例实施办法》（2014年国家质检总局令第156号）第四十四条</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1.立案责任：在监督检查中或通过举报、投诉、其他部门移送、上级部门交办等途径发现的违规生产、销售或者在经营活动中使用的列入目录产品的违法行为线索，应当自发现之日起15日内组织核查，并决定是否立案。</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2.调查责任：对已经立案的案件，进行调查时，执法人员不得少于两人，与当事人有直接利害关系的应当回避。调查时应当出示执法证件，收集相关证据，允许当事人辩解陈述，执法人员应保守有关秘密。</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3.审查责任：案件承办机构提出拟处理意见，报批行政机关负责人决定是否予以查封或者扣押。</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4.告知责任：在做出行政强制决定时，通知当事人到场，当场告知当事人采取行政强制措施的理由、依据以及当事人依法享有的权利、救济途径，听取当事人的陈述和申辩，制作现场笔录。</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5.执行责任：制作并送达查封、扣押决定书和清单。妥善保存管理查封、扣押的场所、设施或者财物。产品质量违法行为调查处理结束整改完成，解除封存。</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6.其他：法律法规规章规定应履行的责任。</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《中华人民共和国行政强制法》第六十一条、第六十二条、第六十三条、第六十四条《中华人民共和国公务员法》</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《行政机关公务员处分条例》</w:t>
            </w:r>
          </w:p>
          <w:p w:rsidR="00BE1D4D" w:rsidRDefault="00BE1D4D" w:rsidP="00911021">
            <w:pPr>
              <w:widowControl/>
              <w:jc w:val="left"/>
              <w:rPr>
                <w:rFonts w:ascii="宋体" w:hAnsi="宋体" w:cs="宋体"/>
                <w:b/>
                <w:bCs/>
                <w:kern w:val="0"/>
                <w:sz w:val="18"/>
                <w:szCs w:val="18"/>
              </w:rPr>
            </w:pPr>
            <w:r>
              <w:rPr>
                <w:rFonts w:ascii="宋体" w:hAnsi="宋体" w:cs="宋体" w:hint="eastAsia"/>
                <w:kern w:val="0"/>
                <w:sz w:val="18"/>
                <w:szCs w:val="18"/>
              </w:rPr>
              <w:t>《事业单位人事管理条例》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地方性法规：</w:t>
            </w:r>
            <w:r>
              <w:rPr>
                <w:rFonts w:ascii="宋体" w:hAnsi="宋体" w:cs="宋体" w:hint="eastAsia"/>
                <w:kern w:val="0"/>
                <w:sz w:val="18"/>
                <w:szCs w:val="18"/>
              </w:rPr>
              <w:t>《山西省行政执法条例》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ind w:firstLineChars="1500" w:firstLine="3150"/>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r>
              <w:object w:dxaOrig="14355" w:dyaOrig="22078">
                <v:shape id="_x0000_i1026" type="#_x0000_t75" style="width:374.4pt;height:364.2pt" o:ole="">
                  <v:imagedata r:id="rId6" o:title=""/>
                </v:shape>
                <o:OLEObject Type="Embed" ProgID="Visio.Drawing.11" ShapeID="_x0000_i1026" DrawAspect="Content" ObjectID="_1595140880" r:id="rId9"/>
              </w:objec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17620" cy="5273040"/>
                  <wp:effectExtent l="19050" t="0" r="0" b="0"/>
                  <wp:docPr id="4613" name="图片 268" descr="行政强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8" descr="行政强制"/>
                          <pic:cNvPicPr>
                            <a:picLocks noChangeAspect="1" noChangeArrowheads="1"/>
                          </pic:cNvPicPr>
                        </pic:nvPicPr>
                        <pic:blipFill>
                          <a:blip r:embed="rId8" cstate="print"/>
                          <a:srcRect/>
                          <a:stretch>
                            <a:fillRect/>
                          </a:stretch>
                        </pic:blipFill>
                        <pic:spPr bwMode="auto">
                          <a:xfrm>
                            <a:off x="0" y="0"/>
                            <a:ext cx="3817620" cy="5273040"/>
                          </a:xfrm>
                          <a:prstGeom prst="rect">
                            <a:avLst/>
                          </a:prstGeom>
                          <a:noFill/>
                          <a:ln w="9525">
                            <a:noFill/>
                            <a:miter lim="800000"/>
                            <a:headEnd/>
                            <a:tailEnd/>
                          </a:ln>
                        </pic:spPr>
                      </pic:pic>
                    </a:graphicData>
                  </a:graphic>
                </wp:inline>
              </w:drawing>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1900-C-03600-140981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对违规计量器具的封存</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行政法规：</w:t>
            </w:r>
            <w:r>
              <w:rPr>
                <w:rFonts w:ascii="宋体" w:hAnsi="宋体" w:cs="宋体" w:hint="eastAsia"/>
                <w:kern w:val="0"/>
                <w:sz w:val="18"/>
                <w:szCs w:val="18"/>
              </w:rPr>
              <w:t>《中华人民共和国计量法实施细则》第四十七条、第四十八条、第五十条</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1.立案责任：在监督检查中或通过举报、投诉、其他部门移送、上级部门交办等途径发现的违法生产经营涉及人体健康和生命安全有关的产品、有关物品以及生产场所的违法行为线索，应当自发现之日起15日内组织核查，并决定是否立案。</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2.调查责任：对已经立案的案件，进行调查时，执法人员不得少于两人，与当事人有直接利害关系的应当回避。调查时应当出示执法证件，收集相关证据，允许当事人辩解陈述，执法人员应保守有关秘密。</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3.审查责任：案件承办机构提出拟处理意见，报批行政机关负责人决定是否予以查封或者扣押。</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4.告知责任：在做出行政强制决定时，通知当事人到场，当场告知当事人采取行政强制措施的理由、依据以及当事人依法享有的权利、救济途径，听取当事人的陈述和申辩，制作现场笔录。</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5.执行责任：制作并送达查封、扣押决定书和清单。妥善保存管理查封、扣押的场所、设施或者财物。产品质量违法行为调查处理结束整改完成，解除封存。</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6.其他：法律法规规章规定应履行的责任。</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《中华人民共和国行政强制法》第六十一条、第六十二条、第六十三条、第六十四条《中华人民共和国公务员法》</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《行政机关公务员处分条例》</w:t>
            </w:r>
          </w:p>
          <w:p w:rsidR="00BE1D4D" w:rsidRDefault="00BE1D4D" w:rsidP="00911021">
            <w:pPr>
              <w:widowControl/>
              <w:jc w:val="left"/>
              <w:rPr>
                <w:rFonts w:ascii="宋体" w:hAnsi="宋体" w:cs="宋体"/>
                <w:b/>
                <w:bCs/>
                <w:kern w:val="0"/>
                <w:sz w:val="18"/>
                <w:szCs w:val="18"/>
              </w:rPr>
            </w:pPr>
            <w:r>
              <w:rPr>
                <w:rFonts w:ascii="宋体" w:hAnsi="宋体" w:cs="宋体" w:hint="eastAsia"/>
                <w:kern w:val="0"/>
                <w:sz w:val="18"/>
                <w:szCs w:val="18"/>
              </w:rPr>
              <w:t>《事业单位人事管理条例》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地方性法规：</w:t>
            </w:r>
            <w:r>
              <w:rPr>
                <w:rFonts w:ascii="宋体" w:hAnsi="宋体" w:cs="宋体" w:hint="eastAsia"/>
                <w:kern w:val="0"/>
                <w:sz w:val="18"/>
                <w:szCs w:val="18"/>
              </w:rPr>
              <w:t>《山西省行政执法条例》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ind w:firstLineChars="1500" w:firstLine="3150"/>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r>
              <w:object w:dxaOrig="14355" w:dyaOrig="22078">
                <v:shape id="_x0000_i1027" type="#_x0000_t75" style="width:374.4pt;height:364.2pt" o:ole="">
                  <v:imagedata r:id="rId6" o:title=""/>
                </v:shape>
                <o:OLEObject Type="Embed" ProgID="Visio.Drawing.11" ShapeID="_x0000_i1027" DrawAspect="Content" ObjectID="_1595140881" r:id="rId10"/>
              </w:objec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17620" cy="5273040"/>
                  <wp:effectExtent l="19050" t="0" r="0" b="0"/>
                  <wp:docPr id="4612" name="图片 270" descr="行政强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descr="行政强制"/>
                          <pic:cNvPicPr>
                            <a:picLocks noChangeAspect="1" noChangeArrowheads="1"/>
                          </pic:cNvPicPr>
                        </pic:nvPicPr>
                        <pic:blipFill>
                          <a:blip r:embed="rId8" cstate="print"/>
                          <a:srcRect/>
                          <a:stretch>
                            <a:fillRect/>
                          </a:stretch>
                        </pic:blipFill>
                        <pic:spPr bwMode="auto">
                          <a:xfrm>
                            <a:off x="0" y="0"/>
                            <a:ext cx="3817620" cy="5273040"/>
                          </a:xfrm>
                          <a:prstGeom prst="rect">
                            <a:avLst/>
                          </a:prstGeom>
                          <a:noFill/>
                          <a:ln w="9525">
                            <a:noFill/>
                            <a:miter lim="800000"/>
                            <a:headEnd/>
                            <a:tailEnd/>
                          </a:ln>
                        </pic:spPr>
                      </pic:pic>
                    </a:graphicData>
                  </a:graphic>
                </wp:inline>
              </w:drawing>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1900-C-03700-140981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对不符合安全技术规范要求或者存在严重事故隐患的特种设备的查封、扣押</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法律：</w:t>
            </w:r>
            <w:r>
              <w:rPr>
                <w:rFonts w:ascii="宋体" w:hAnsi="宋体" w:cs="宋体" w:hint="eastAsia"/>
                <w:kern w:val="0"/>
                <w:sz w:val="18"/>
                <w:szCs w:val="18"/>
              </w:rPr>
              <w:t>《中华人民共和国特种设备安全法》第六十一条</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1.立案责任：在监督检查中或通过举报、投诉、其他部门移送、上级部门交办等途径发现的违法生产经营涉及人体健康和生命安全有关的产品、有关物品以及生产场所的违法行为线索，应当自发现之日起15日内组织核查，并决定是否立案。</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2.调查责任：对已经立案的案件，进行调查时，执法人员不得少于两人，与当事人有直接利害关系的应当回避。调查时应当出示执法证件，收集相关证据，允许当事人辩解陈述，执法人员应保守有关秘密。</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3.审查责任：案件承办机构提出拟处理意见，报批行政机关负责人决定是否予以查封或者扣押。</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4.告知责任：在做出行政强制决定时，通知当事人到场，当场告知当事人采取行政强制措施的理由、依据以及当事人依法享有的权利、救济途径，听取当事人的陈述和申辩，制作现场笔录。</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5.执行责任：制作并送达查封、扣押决定书和清单。妥善保存管理查封、扣押的场所、设施或者财物。产品质量违法行为调查处理结束整改完成，解除封存。</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6.其他：法律法规规章规定应履行的责任。</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《中华人民共和国行政强制法》第六十一条、第六十二条、第六十三条、第六十四条《中华人民共和国公务员法》</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《行政机关公务员处分条例》</w:t>
            </w:r>
          </w:p>
          <w:p w:rsidR="00BE1D4D" w:rsidRDefault="00BE1D4D" w:rsidP="00911021">
            <w:pPr>
              <w:widowControl/>
              <w:jc w:val="left"/>
              <w:rPr>
                <w:rFonts w:ascii="宋体" w:hAnsi="宋体" w:cs="宋体"/>
                <w:b/>
                <w:bCs/>
                <w:kern w:val="0"/>
                <w:sz w:val="18"/>
                <w:szCs w:val="18"/>
              </w:rPr>
            </w:pPr>
            <w:r>
              <w:rPr>
                <w:rFonts w:ascii="宋体" w:hAnsi="宋体" w:cs="宋体" w:hint="eastAsia"/>
                <w:kern w:val="0"/>
                <w:sz w:val="18"/>
                <w:szCs w:val="18"/>
              </w:rPr>
              <w:t>《事业单位人事管理条例》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地方性法规：</w:t>
            </w:r>
            <w:r>
              <w:rPr>
                <w:rFonts w:ascii="宋体" w:hAnsi="宋体" w:cs="宋体" w:hint="eastAsia"/>
                <w:kern w:val="0"/>
                <w:sz w:val="18"/>
                <w:szCs w:val="18"/>
              </w:rPr>
              <w:t>《山西省行政执法条例》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ind w:firstLineChars="1500" w:firstLine="3150"/>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r>
              <w:object w:dxaOrig="14355" w:dyaOrig="22078">
                <v:shape id="_x0000_i1028" type="#_x0000_t75" style="width:374.4pt;height:364.2pt" o:ole="">
                  <v:imagedata r:id="rId6" o:title=""/>
                </v:shape>
                <o:OLEObject Type="Embed" ProgID="Visio.Drawing.11" ShapeID="_x0000_i1028" DrawAspect="Content" ObjectID="_1595140882" r:id="rId11"/>
              </w:objec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02380" cy="5265420"/>
                  <wp:effectExtent l="19050" t="0" r="7620" b="0"/>
                  <wp:docPr id="4611" name="图片 272" descr="行政强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descr="行政强制2"/>
                          <pic:cNvPicPr>
                            <a:picLocks noChangeAspect="1" noChangeArrowheads="1"/>
                          </pic:cNvPicPr>
                        </pic:nvPicPr>
                        <pic:blipFill>
                          <a:blip r:embed="rId12" cstate="print"/>
                          <a:srcRect/>
                          <a:stretch>
                            <a:fillRect/>
                          </a:stretch>
                        </pic:blipFill>
                        <pic:spPr bwMode="auto">
                          <a:xfrm>
                            <a:off x="0" y="0"/>
                            <a:ext cx="3802380" cy="5265420"/>
                          </a:xfrm>
                          <a:prstGeom prst="rect">
                            <a:avLst/>
                          </a:prstGeom>
                          <a:noFill/>
                          <a:ln w="9525">
                            <a:noFill/>
                            <a:miter lim="800000"/>
                            <a:headEnd/>
                            <a:tailEnd/>
                          </a:ln>
                        </pic:spPr>
                      </pic:pic>
                    </a:graphicData>
                  </a:graphic>
                </wp:inline>
              </w:drawing>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1900-C-03800-140981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行政强制</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rPr>
                <w:rFonts w:ascii="微软雅黑" w:eastAsia="微软雅黑" w:hAnsi="微软雅黑" w:cs="微软雅黑"/>
                <w:color w:val="000000"/>
                <w:szCs w:val="21"/>
              </w:rPr>
            </w:pPr>
            <w:r>
              <w:rPr>
                <w:rFonts w:ascii="宋体" w:hAnsi="宋体" w:cs="宋体" w:hint="eastAsia"/>
                <w:kern w:val="0"/>
                <w:sz w:val="18"/>
                <w:szCs w:val="18"/>
              </w:rPr>
              <w:t>对不符合强制性标准进口产品的封存</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行政法规：</w:t>
            </w:r>
            <w:r>
              <w:rPr>
                <w:rFonts w:ascii="宋体" w:hAnsi="宋体" w:cs="宋体" w:hint="eastAsia"/>
                <w:kern w:val="0"/>
                <w:sz w:val="18"/>
                <w:szCs w:val="18"/>
              </w:rPr>
              <w:t>《中华人民共和国标准化法实施条例》（国务院令第53号）第三十三条</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1.立案责任：在监督检查中或通过举报、投诉、其他部门移送、上级部门交办等途径发现的不符合强制性标准进口产品的违法行为线索，应当自发现之日起15日内组织核查，并决定是否立案。</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2.调查责任：对已经立案的案件，进行调查时，执法人员不得少于两人，与当事人有直接利害关系的应当回避。调查时应当出示执法证件，收集相关证据，允许当事人辩解陈述，执法人员应保守有关秘密。</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3.审查责任：案件承办机构提出拟处理意见，报批行政机关负责人决定是否予以查封或者扣押。</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4.告知责任：在做出行政强制决定时，通知当事人到场，当场告知当事人采取行政强制措施的理由、依据以及当事人依法享有的权利、救济途径，听取当事人的陈述和申辩，制作现场笔录。</w:t>
            </w:r>
          </w:p>
          <w:p w:rsidR="00BE1D4D" w:rsidRDefault="00BE1D4D" w:rsidP="00911021">
            <w:pPr>
              <w:widowControl/>
              <w:jc w:val="left"/>
              <w:rPr>
                <w:rFonts w:ascii="宋体" w:hAnsi="宋体" w:cs="宋体"/>
                <w:kern w:val="0"/>
                <w:sz w:val="18"/>
                <w:szCs w:val="18"/>
              </w:rPr>
            </w:pPr>
            <w:r>
              <w:rPr>
                <w:rFonts w:ascii="宋体" w:hAnsi="宋体" w:cs="宋体" w:hint="eastAsia"/>
                <w:kern w:val="0"/>
                <w:sz w:val="18"/>
                <w:szCs w:val="18"/>
              </w:rPr>
              <w:t>5.执行责任：制作并送达查封、扣押决定书和清单。妥善保存管理查封、扣押的场所、设施或者财物。产品质量违法行为调查处理结束整改完成，解除封存。</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kern w:val="0"/>
                <w:sz w:val="18"/>
                <w:szCs w:val="18"/>
              </w:rPr>
              <w:t>6.其他：法律法规规章规定应履行的责任。</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《中华人民共和国行政强制法》第六十一条、第六十二条、第六十三条、第六十四条《中华人民共和国公务员法》</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《行政机关公务员处分条例》</w:t>
            </w:r>
          </w:p>
          <w:p w:rsidR="00BE1D4D" w:rsidRDefault="00BE1D4D" w:rsidP="00911021">
            <w:pPr>
              <w:widowControl/>
              <w:jc w:val="left"/>
              <w:rPr>
                <w:rFonts w:ascii="宋体" w:hAnsi="宋体" w:cs="宋体"/>
                <w:b/>
                <w:bCs/>
                <w:kern w:val="0"/>
                <w:sz w:val="18"/>
                <w:szCs w:val="18"/>
              </w:rPr>
            </w:pPr>
            <w:r>
              <w:rPr>
                <w:rFonts w:ascii="宋体" w:hAnsi="宋体" w:cs="宋体" w:hint="eastAsia"/>
                <w:kern w:val="0"/>
                <w:sz w:val="18"/>
                <w:szCs w:val="18"/>
              </w:rPr>
              <w:t>《事业单位人事管理条例》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地方性法规：</w:t>
            </w:r>
            <w:r>
              <w:rPr>
                <w:rFonts w:ascii="宋体" w:hAnsi="宋体" w:cs="宋体" w:hint="eastAsia"/>
                <w:kern w:val="0"/>
                <w:sz w:val="18"/>
                <w:szCs w:val="18"/>
              </w:rPr>
              <w:t>《山西省行政执法条例》</w:t>
            </w:r>
          </w:p>
          <w:p w:rsidR="00BE1D4D" w:rsidRDefault="00BE1D4D"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BE1D4D" w:rsidRDefault="00BE1D4D"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jc w:val="left"/>
              <w:rPr>
                <w:rFonts w:ascii="微软雅黑" w:eastAsia="微软雅黑" w:hAnsi="微软雅黑" w:cs="微软雅黑"/>
                <w:color w:val="000000"/>
                <w:szCs w:val="21"/>
              </w:rPr>
            </w:pP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ind w:firstLineChars="1500" w:firstLine="3150"/>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r>
              <w:object w:dxaOrig="14355" w:dyaOrig="22078">
                <v:shape id="_x0000_i1029" type="#_x0000_t75" style="width:374.4pt;height:364.2pt" o:ole="">
                  <v:imagedata r:id="rId6" o:title=""/>
                </v:shape>
                <o:OLEObject Type="Embed" ProgID="Visio.Drawing.11" ShapeID="_x0000_i1029" DrawAspect="Content" ObjectID="_1595140883" r:id="rId13"/>
              </w:object>
            </w:r>
          </w:p>
        </w:tc>
      </w:tr>
      <w:tr w:rsidR="00BE1D4D"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BE1D4D" w:rsidRDefault="00BE1D4D"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BE1D4D" w:rsidRDefault="00BE1D4D" w:rsidP="00911021">
            <w:pPr>
              <w:widowControl/>
              <w:wordWrap w:val="0"/>
              <w:spacing w:line="420" w:lineRule="atLeast"/>
              <w:rPr>
                <w:rFonts w:ascii="微软雅黑" w:eastAsia="微软雅黑" w:hAnsi="微软雅黑" w:cs="微软雅黑"/>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noProof/>
                <w:color w:val="000000"/>
                <w:szCs w:val="21"/>
              </w:rPr>
              <w:drawing>
                <wp:inline distT="0" distB="0" distL="0" distR="0">
                  <wp:extent cx="3817620" cy="4754880"/>
                  <wp:effectExtent l="19050" t="0" r="0" b="0"/>
                  <wp:docPr id="4610" name="图片 274" descr="行政强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4" descr="行政强制"/>
                          <pic:cNvPicPr>
                            <a:picLocks noChangeAspect="1" noChangeArrowheads="1"/>
                          </pic:cNvPicPr>
                        </pic:nvPicPr>
                        <pic:blipFill>
                          <a:blip r:embed="rId8" cstate="print"/>
                          <a:srcRect/>
                          <a:stretch>
                            <a:fillRect/>
                          </a:stretch>
                        </pic:blipFill>
                        <pic:spPr bwMode="auto">
                          <a:xfrm>
                            <a:off x="0" y="0"/>
                            <a:ext cx="3817620" cy="4754880"/>
                          </a:xfrm>
                          <a:prstGeom prst="rect">
                            <a:avLst/>
                          </a:prstGeom>
                          <a:noFill/>
                          <a:ln w="9525">
                            <a:noFill/>
                            <a:miter lim="800000"/>
                            <a:headEnd/>
                            <a:tailEnd/>
                          </a:ln>
                        </pic:spPr>
                      </pic:pic>
                    </a:graphicData>
                  </a:graphic>
                </wp:inline>
              </w:drawing>
            </w:r>
          </w:p>
        </w:tc>
      </w:tr>
    </w:tbl>
    <w:p w:rsidR="00E51E8D" w:rsidRDefault="00E51E8D"/>
    <w:sectPr w:rsidR="00E51E8D" w:rsidSect="00BE1D4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1D4D"/>
    <w:rsid w:val="00BE1D4D"/>
    <w:rsid w:val="00E51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BE1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BE1D4D"/>
    <w:rPr>
      <w:rFonts w:ascii="Calibri" w:eastAsia="宋体" w:hAnsi="Calibri" w:cs="Times New Roman"/>
      <w:sz w:val="18"/>
      <w:szCs w:val="18"/>
    </w:rPr>
  </w:style>
  <w:style w:type="paragraph" w:styleId="a4">
    <w:name w:val="footer"/>
    <w:basedOn w:val="a"/>
    <w:link w:val="Char0"/>
    <w:qFormat/>
    <w:rsid w:val="00BE1D4D"/>
    <w:pPr>
      <w:tabs>
        <w:tab w:val="center" w:pos="4153"/>
        <w:tab w:val="right" w:pos="8306"/>
      </w:tabs>
      <w:snapToGrid w:val="0"/>
      <w:jc w:val="left"/>
    </w:pPr>
    <w:rPr>
      <w:sz w:val="18"/>
      <w:szCs w:val="18"/>
    </w:rPr>
  </w:style>
  <w:style w:type="character" w:customStyle="1" w:styleId="Char0">
    <w:name w:val="页脚 Char"/>
    <w:basedOn w:val="a0"/>
    <w:link w:val="a4"/>
    <w:qFormat/>
    <w:rsid w:val="00BE1D4D"/>
    <w:rPr>
      <w:rFonts w:ascii="Calibri" w:eastAsia="宋体" w:hAnsi="Calibri" w:cs="Times New Roman"/>
      <w:sz w:val="18"/>
      <w:szCs w:val="18"/>
    </w:rPr>
  </w:style>
  <w:style w:type="paragraph" w:styleId="a5">
    <w:name w:val="Balloon Text"/>
    <w:basedOn w:val="a"/>
    <w:link w:val="Char1"/>
    <w:uiPriority w:val="99"/>
    <w:qFormat/>
    <w:rsid w:val="00BE1D4D"/>
    <w:rPr>
      <w:sz w:val="18"/>
      <w:szCs w:val="18"/>
    </w:rPr>
  </w:style>
  <w:style w:type="character" w:customStyle="1" w:styleId="Char1">
    <w:name w:val="批注框文本 Char"/>
    <w:basedOn w:val="a0"/>
    <w:link w:val="a5"/>
    <w:uiPriority w:val="99"/>
    <w:qFormat/>
    <w:rsid w:val="00BE1D4D"/>
    <w:rPr>
      <w:rFonts w:ascii="Calibri" w:eastAsia="宋体" w:hAnsi="Calibri" w:cs="Times New Roman"/>
      <w:sz w:val="18"/>
      <w:szCs w:val="18"/>
    </w:rPr>
  </w:style>
  <w:style w:type="paragraph" w:styleId="a6">
    <w:name w:val="Normal (Web)"/>
    <w:basedOn w:val="a"/>
    <w:uiPriority w:val="99"/>
    <w:unhideWhenUsed/>
    <w:rsid w:val="00BE1D4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oleObject" Target="embeddings/oleObject4.bin"/><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135</Pages>
  <Words>6011</Words>
  <Characters>34267</Characters>
  <Application>Microsoft Office Word</Application>
  <DocSecurity>0</DocSecurity>
  <Lines>285</Lines>
  <Paragraphs>80</Paragraphs>
  <ScaleCrop>false</ScaleCrop>
  <Company/>
  <LinksUpToDate>false</LinksUpToDate>
  <CharactersWithSpaces>40198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2018-08-07T01:40:00Z</dcterms:created>
  <dcterms:modified xsi:type="dcterms:W3CDTF">2018-08-07T01:51:00Z</dcterms:modified>
</cp:coreProperties>
</file>