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30" w:type="dxa"/>
        <w:tblInd w:w="-874"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788"/>
        <w:gridCol w:w="8122"/>
        <w:gridCol w:w="2951"/>
        <w:gridCol w:w="2769"/>
      </w:tblGrid>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职权编码</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Pr="008A1882" w:rsidRDefault="005A0668" w:rsidP="00911021">
            <w:pPr>
              <w:spacing w:line="250" w:lineRule="exact"/>
              <w:rPr>
                <w:rFonts w:ascii="宋体" w:hAnsi="宋体"/>
                <w:sz w:val="18"/>
                <w:szCs w:val="18"/>
              </w:rPr>
            </w:pPr>
            <w:r>
              <w:rPr>
                <w:rFonts w:ascii="宋体" w:hAnsi="宋体" w:hint="eastAsia"/>
                <w:sz w:val="18"/>
                <w:szCs w:val="18"/>
              </w:rPr>
              <w:t>1900-E-00100-140981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行政裁决</w:t>
            </w:r>
          </w:p>
        </w:tc>
      </w:tr>
      <w:tr w:rsidR="005A0668" w:rsidRPr="00466125"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spacing w:line="260" w:lineRule="exact"/>
              <w:rPr>
                <w:rFonts w:ascii="宋体" w:hAnsi="宋体"/>
                <w:sz w:val="18"/>
                <w:szCs w:val="18"/>
              </w:rPr>
            </w:pPr>
            <w:r>
              <w:rPr>
                <w:rFonts w:ascii="宋体" w:hAnsi="宋体" w:hint="eastAsia"/>
                <w:sz w:val="18"/>
                <w:szCs w:val="18"/>
              </w:rPr>
              <w:t>企业名称争议裁决</w:t>
            </w:r>
          </w:p>
        </w:tc>
      </w:tr>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jc w:val="left"/>
              <w:rPr>
                <w:rFonts w:ascii="微软雅黑" w:eastAsia="微软雅黑" w:hAnsi="微软雅黑" w:cs="微软雅黑"/>
                <w:color w:val="000000"/>
                <w:szCs w:val="21"/>
              </w:rPr>
            </w:pPr>
          </w:p>
        </w:tc>
      </w:tr>
      <w:tr w:rsidR="005A0668"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spacing w:line="250" w:lineRule="exact"/>
              <w:rPr>
                <w:rFonts w:ascii="宋体" w:hAnsi="宋体"/>
                <w:sz w:val="18"/>
                <w:szCs w:val="18"/>
              </w:rPr>
            </w:pPr>
            <w:r>
              <w:rPr>
                <w:rFonts w:ascii="宋体" w:hAnsi="宋体" w:hint="eastAsia"/>
                <w:sz w:val="18"/>
                <w:szCs w:val="18"/>
              </w:rPr>
              <w:t>【行政法规】《企业名称登记管理规定》（国务院令第628号）</w:t>
            </w:r>
          </w:p>
          <w:p w:rsidR="005A0668" w:rsidRDefault="005A0668" w:rsidP="00911021">
            <w:pPr>
              <w:spacing w:line="260" w:lineRule="exact"/>
              <w:rPr>
                <w:rFonts w:ascii="宋体" w:hAnsi="宋体"/>
                <w:sz w:val="18"/>
                <w:szCs w:val="18"/>
              </w:rPr>
            </w:pPr>
            <w:r>
              <w:rPr>
                <w:rFonts w:ascii="宋体" w:hAnsi="宋体" w:hint="eastAsia"/>
                <w:sz w:val="18"/>
                <w:szCs w:val="18"/>
              </w:rPr>
              <w:t>第二十四条</w:t>
            </w:r>
          </w:p>
        </w:tc>
      </w:tr>
      <w:tr w:rsidR="005A0668" w:rsidRPr="00DE6D3B"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spacing w:line="250" w:lineRule="exact"/>
              <w:ind w:left="270" w:hangingChars="150" w:hanging="270"/>
              <w:rPr>
                <w:rFonts w:ascii="宋体" w:hAnsi="宋体"/>
                <w:sz w:val="18"/>
                <w:szCs w:val="18"/>
              </w:rPr>
            </w:pPr>
            <w:r>
              <w:rPr>
                <w:rFonts w:ascii="宋体" w:hAnsi="宋体" w:hint="eastAsia"/>
                <w:sz w:val="18"/>
                <w:szCs w:val="18"/>
              </w:rPr>
              <w:t>1．受理责任：公示申请条件、法定期限、需要提供的申请书及其他资料（申请人及被申请人的基本情况，申请裁决的要求和理由，有关证据材料，申请的日期等），一次性告知补正材料；依法受理或不予受理（不予受理的应当及时、明确告知理由）。</w:t>
            </w:r>
          </w:p>
          <w:p w:rsidR="005A0668" w:rsidRDefault="005A0668" w:rsidP="00911021">
            <w:pPr>
              <w:spacing w:line="250" w:lineRule="exact"/>
              <w:ind w:left="270" w:hangingChars="150" w:hanging="270"/>
              <w:rPr>
                <w:rFonts w:ascii="宋体" w:hAnsi="宋体"/>
                <w:sz w:val="18"/>
                <w:szCs w:val="18"/>
              </w:rPr>
            </w:pPr>
            <w:r>
              <w:rPr>
                <w:rFonts w:ascii="宋体" w:hAnsi="宋体" w:hint="eastAsia"/>
                <w:sz w:val="18"/>
                <w:szCs w:val="18"/>
              </w:rPr>
              <w:t>2．调查责任：在规定时间内，依法查证申请人和被申请人企业名称登记注册的情况；调查核实申请人提交的材料和有关争议的情况。</w:t>
            </w:r>
          </w:p>
          <w:p w:rsidR="005A0668" w:rsidRDefault="005A0668" w:rsidP="00911021">
            <w:pPr>
              <w:spacing w:line="250" w:lineRule="exact"/>
              <w:ind w:left="270" w:hangingChars="150" w:hanging="270"/>
              <w:rPr>
                <w:rFonts w:ascii="宋体" w:hAnsi="宋体"/>
                <w:sz w:val="18"/>
                <w:szCs w:val="18"/>
              </w:rPr>
            </w:pPr>
            <w:r>
              <w:rPr>
                <w:rFonts w:ascii="宋体" w:hAnsi="宋体" w:hint="eastAsia"/>
                <w:sz w:val="18"/>
                <w:szCs w:val="18"/>
              </w:rPr>
              <w:t>3．告知责任：将有关名称争议情况书面告知被申请人，要求被申请人在1个月内对争议问题提交书面意见。</w:t>
            </w:r>
          </w:p>
          <w:p w:rsidR="005A0668" w:rsidRDefault="005A0668" w:rsidP="00911021">
            <w:pPr>
              <w:spacing w:line="250" w:lineRule="exact"/>
              <w:ind w:left="270" w:hangingChars="150" w:hanging="270"/>
              <w:rPr>
                <w:rFonts w:ascii="宋体" w:hAnsi="宋体"/>
                <w:sz w:val="18"/>
                <w:szCs w:val="18"/>
              </w:rPr>
            </w:pPr>
            <w:r>
              <w:rPr>
                <w:rFonts w:ascii="宋体" w:hAnsi="宋体" w:hint="eastAsia"/>
                <w:sz w:val="18"/>
                <w:szCs w:val="18"/>
              </w:rPr>
              <w:t>4．决定责任：依据保护工业产权的原则和企业名称登记管理的有关规定</w:t>
            </w:r>
            <w:proofErr w:type="gramStart"/>
            <w:r>
              <w:rPr>
                <w:rFonts w:ascii="宋体" w:hAnsi="宋体" w:hint="eastAsia"/>
                <w:sz w:val="18"/>
                <w:szCs w:val="18"/>
              </w:rPr>
              <w:t>作出</w:t>
            </w:r>
            <w:proofErr w:type="gramEnd"/>
            <w:r>
              <w:rPr>
                <w:rFonts w:ascii="宋体" w:hAnsi="宋体" w:hint="eastAsia"/>
                <w:sz w:val="18"/>
                <w:szCs w:val="18"/>
              </w:rPr>
              <w:t>处理决定。</w:t>
            </w:r>
          </w:p>
          <w:p w:rsidR="005A0668" w:rsidRDefault="005A0668" w:rsidP="00911021">
            <w:pPr>
              <w:spacing w:line="250" w:lineRule="exact"/>
              <w:ind w:left="270" w:hangingChars="150" w:hanging="270"/>
              <w:rPr>
                <w:rFonts w:ascii="宋体" w:hAnsi="宋体"/>
                <w:sz w:val="18"/>
                <w:szCs w:val="18"/>
              </w:rPr>
            </w:pPr>
            <w:r>
              <w:rPr>
                <w:rFonts w:ascii="宋体" w:hAnsi="宋体" w:hint="eastAsia"/>
                <w:sz w:val="18"/>
                <w:szCs w:val="18"/>
              </w:rPr>
              <w:t>5．送达责任：制作并送达决定书。</w:t>
            </w:r>
          </w:p>
          <w:p w:rsidR="005A0668" w:rsidRDefault="005A0668" w:rsidP="00911021">
            <w:pPr>
              <w:spacing w:line="250" w:lineRule="exact"/>
              <w:ind w:left="270" w:hangingChars="150" w:hanging="270"/>
              <w:rPr>
                <w:rFonts w:ascii="宋体" w:hAnsi="宋体"/>
                <w:sz w:val="18"/>
                <w:szCs w:val="18"/>
              </w:rPr>
            </w:pPr>
            <w:r>
              <w:rPr>
                <w:rFonts w:ascii="宋体" w:hAnsi="宋体" w:hint="eastAsia"/>
                <w:sz w:val="18"/>
                <w:szCs w:val="18"/>
              </w:rPr>
              <w:t>6．事后监管责任：加强监管，督促申请人和被申请人执行处理决定。</w:t>
            </w:r>
          </w:p>
          <w:p w:rsidR="005A0668" w:rsidRPr="00791F7B" w:rsidRDefault="005A0668" w:rsidP="00911021">
            <w:pPr>
              <w:tabs>
                <w:tab w:val="left" w:pos="7937"/>
              </w:tabs>
              <w:rPr>
                <w:rFonts w:ascii="宋体" w:hAnsi="宋体" w:cs="宋体"/>
                <w:kern w:val="1"/>
                <w:sz w:val="18"/>
                <w:szCs w:val="18"/>
              </w:rPr>
            </w:pPr>
            <w:r>
              <w:rPr>
                <w:rFonts w:ascii="宋体" w:hAnsi="宋体" w:hint="eastAsia"/>
                <w:sz w:val="18"/>
                <w:szCs w:val="18"/>
              </w:rPr>
              <w:t>7．其他：法律法规政策规定应履行的责任。</w:t>
            </w:r>
          </w:p>
        </w:tc>
      </w:tr>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spacing w:line="250" w:lineRule="exact"/>
              <w:rPr>
                <w:rFonts w:ascii="宋体" w:hAnsi="宋体"/>
                <w:sz w:val="18"/>
                <w:szCs w:val="18"/>
              </w:rPr>
            </w:pPr>
            <w:r>
              <w:rPr>
                <w:rFonts w:ascii="宋体" w:hAnsi="宋体" w:hint="eastAsia"/>
                <w:sz w:val="18"/>
                <w:szCs w:val="18"/>
              </w:rPr>
              <w:t>《中华人民共和国行政复议法》第三十四条——三十八条</w:t>
            </w:r>
          </w:p>
          <w:p w:rsidR="005A0668" w:rsidRDefault="005A0668" w:rsidP="00911021">
            <w:pPr>
              <w:spacing w:line="250" w:lineRule="exact"/>
              <w:rPr>
                <w:rFonts w:ascii="宋体" w:hAnsi="宋体"/>
                <w:sz w:val="18"/>
                <w:szCs w:val="18"/>
              </w:rPr>
            </w:pPr>
            <w:r>
              <w:rPr>
                <w:rFonts w:ascii="宋体" w:hAnsi="宋体" w:hint="eastAsia"/>
                <w:sz w:val="18"/>
                <w:szCs w:val="18"/>
              </w:rPr>
              <w:t>《山西省行政执法条例》第四十条—第四十二条</w:t>
            </w:r>
          </w:p>
          <w:p w:rsidR="005A0668" w:rsidRDefault="005A0668" w:rsidP="00911021">
            <w:pPr>
              <w:spacing w:line="250" w:lineRule="exact"/>
              <w:rPr>
                <w:rFonts w:ascii="宋体" w:hAnsi="宋体"/>
                <w:sz w:val="18"/>
                <w:szCs w:val="18"/>
              </w:rPr>
            </w:pPr>
            <w:r>
              <w:rPr>
                <w:rFonts w:ascii="宋体" w:hAnsi="宋体" w:hint="eastAsia"/>
                <w:sz w:val="18"/>
                <w:szCs w:val="18"/>
              </w:rPr>
              <w:t>《中华人民共和国公务员法》</w:t>
            </w:r>
          </w:p>
          <w:p w:rsidR="005A0668" w:rsidRDefault="005A0668" w:rsidP="00911021">
            <w:pPr>
              <w:spacing w:line="250" w:lineRule="exact"/>
              <w:rPr>
                <w:rFonts w:ascii="宋体" w:hAnsi="宋体"/>
                <w:sz w:val="18"/>
                <w:szCs w:val="18"/>
              </w:rPr>
            </w:pPr>
            <w:r>
              <w:rPr>
                <w:rFonts w:ascii="宋体" w:hAnsi="宋体" w:hint="eastAsia"/>
                <w:sz w:val="18"/>
                <w:szCs w:val="18"/>
              </w:rPr>
              <w:t>五十三条、五十四条、五十五条、一百零一条</w:t>
            </w:r>
          </w:p>
          <w:p w:rsidR="005A0668" w:rsidRDefault="005A0668" w:rsidP="00911021">
            <w:pPr>
              <w:spacing w:line="250" w:lineRule="exact"/>
              <w:rPr>
                <w:rFonts w:ascii="宋体" w:hAnsi="宋体"/>
                <w:sz w:val="18"/>
                <w:szCs w:val="18"/>
              </w:rPr>
            </w:pPr>
            <w:r>
              <w:rPr>
                <w:rFonts w:ascii="宋体" w:hAnsi="宋体" w:hint="eastAsia"/>
                <w:sz w:val="18"/>
                <w:szCs w:val="18"/>
              </w:rPr>
              <w:t>《行政机关公务员处分条例》(国务令第495号)第十九条——第二十一条、第二十三条、第二十五条、第二十八条</w:t>
            </w:r>
          </w:p>
          <w:p w:rsidR="005A0668" w:rsidRDefault="005A0668" w:rsidP="00911021">
            <w:pPr>
              <w:spacing w:line="250" w:lineRule="exact"/>
              <w:rPr>
                <w:rFonts w:ascii="宋体" w:hAnsi="宋体"/>
                <w:sz w:val="18"/>
                <w:szCs w:val="18"/>
              </w:rPr>
            </w:pPr>
            <w:r>
              <w:rPr>
                <w:rFonts w:ascii="宋体" w:hAnsi="宋体" w:hint="eastAsia"/>
                <w:sz w:val="18"/>
                <w:szCs w:val="18"/>
              </w:rPr>
              <w:t>《中华人民共和国政府信息公开条例》第三十五条</w:t>
            </w:r>
          </w:p>
          <w:p w:rsidR="005A0668" w:rsidRDefault="005A0668" w:rsidP="00911021">
            <w:pPr>
              <w:spacing w:line="250" w:lineRule="exact"/>
              <w:rPr>
                <w:rFonts w:ascii="宋体" w:hAnsi="宋体"/>
                <w:sz w:val="18"/>
                <w:szCs w:val="18"/>
              </w:rPr>
            </w:pPr>
            <w:r>
              <w:rPr>
                <w:rFonts w:ascii="宋体" w:hAnsi="宋体" w:hint="eastAsia"/>
                <w:sz w:val="18"/>
                <w:szCs w:val="18"/>
              </w:rPr>
              <w:t>《中国共产党纪律处分条例》</w:t>
            </w:r>
          </w:p>
          <w:p w:rsidR="005A0668" w:rsidRDefault="005A0668" w:rsidP="00911021">
            <w:pPr>
              <w:spacing w:line="280" w:lineRule="exact"/>
              <w:rPr>
                <w:rFonts w:ascii="微软雅黑" w:eastAsia="微软雅黑" w:hAnsi="微软雅黑" w:cs="微软雅黑"/>
                <w:color w:val="000000"/>
                <w:szCs w:val="21"/>
              </w:rPr>
            </w:pPr>
            <w:r>
              <w:rPr>
                <w:rFonts w:ascii="宋体" w:hAnsi="宋体" w:hint="eastAsia"/>
                <w:bCs/>
                <w:color w:val="000000"/>
                <w:sz w:val="18"/>
                <w:szCs w:val="18"/>
              </w:rPr>
              <w:t>其他：</w:t>
            </w:r>
            <w:r>
              <w:rPr>
                <w:rFonts w:ascii="宋体" w:hAnsi="宋体" w:hint="eastAsia"/>
                <w:color w:val="000000"/>
                <w:sz w:val="18"/>
                <w:szCs w:val="18"/>
              </w:rPr>
              <w:t>违反有关法律法规规章文件规定的行为</w:t>
            </w:r>
          </w:p>
        </w:tc>
      </w:tr>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实施主体</w:t>
            </w:r>
          </w:p>
        </w:tc>
        <w:tc>
          <w:tcPr>
            <w:tcW w:w="8122"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jc w:val="left"/>
              <w:rPr>
                <w:rFonts w:ascii="微软雅黑" w:eastAsia="微软雅黑" w:hAnsi="微软雅黑" w:cs="微软雅黑"/>
                <w:color w:val="000000"/>
                <w:szCs w:val="21"/>
              </w:rPr>
            </w:pPr>
          </w:p>
        </w:tc>
      </w:tr>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4686300" cy="5265420"/>
                  <wp:effectExtent l="19050" t="0" r="0" b="0"/>
                  <wp:docPr id="3" name="图片 1"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无标题.png"/>
                          <pic:cNvPicPr>
                            <a:picLocks noChangeAspect="1" noChangeArrowheads="1"/>
                          </pic:cNvPicPr>
                        </pic:nvPicPr>
                        <pic:blipFill>
                          <a:blip r:embed="rId4" cstate="print"/>
                          <a:srcRect/>
                          <a:stretch>
                            <a:fillRect/>
                          </a:stretch>
                        </pic:blipFill>
                        <pic:spPr bwMode="auto">
                          <a:xfrm>
                            <a:off x="0" y="0"/>
                            <a:ext cx="4686300" cy="5265420"/>
                          </a:xfrm>
                          <a:prstGeom prst="rect">
                            <a:avLst/>
                          </a:prstGeom>
                          <a:noFill/>
                          <a:ln w="9525">
                            <a:noFill/>
                            <a:miter lim="800000"/>
                            <a:headEnd/>
                            <a:tailEnd/>
                          </a:ln>
                        </pic:spPr>
                      </pic:pic>
                    </a:graphicData>
                  </a:graphic>
                </wp:inline>
              </w:drawing>
            </w:r>
          </w:p>
        </w:tc>
      </w:tr>
      <w:tr w:rsidR="005A0668" w:rsidTr="00911021">
        <w:trPr>
          <w:trHeight w:val="142"/>
        </w:trPr>
        <w:tc>
          <w:tcPr>
            <w:tcW w:w="1788"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3842"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3497580" cy="4671060"/>
                  <wp:effectExtent l="19050" t="0" r="7620" b="0"/>
                  <wp:docPr id="2" name="图片 2"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无标题.png"/>
                          <pic:cNvPicPr>
                            <a:picLocks noChangeAspect="1" noChangeArrowheads="1"/>
                          </pic:cNvPicPr>
                        </pic:nvPicPr>
                        <pic:blipFill>
                          <a:blip r:embed="rId5" cstate="print"/>
                          <a:srcRect/>
                          <a:stretch>
                            <a:fillRect/>
                          </a:stretch>
                        </pic:blipFill>
                        <pic:spPr bwMode="auto">
                          <a:xfrm>
                            <a:off x="0" y="0"/>
                            <a:ext cx="3497580" cy="4671060"/>
                          </a:xfrm>
                          <a:prstGeom prst="rect">
                            <a:avLst/>
                          </a:prstGeom>
                          <a:noFill/>
                          <a:ln w="9525">
                            <a:noFill/>
                            <a:miter lim="800000"/>
                            <a:headEnd/>
                            <a:tailEnd/>
                          </a:ln>
                        </pic:spPr>
                      </pic:pic>
                    </a:graphicData>
                  </a:graphic>
                </wp:inline>
              </w:drawing>
            </w:r>
          </w:p>
        </w:tc>
      </w:tr>
    </w:tbl>
    <w:p w:rsidR="005A0668" w:rsidRDefault="005A0668" w:rsidP="005A0668"/>
    <w:p w:rsidR="005A0668" w:rsidRDefault="005A0668">
      <w:pPr>
        <w:rPr>
          <w:rFonts w:hint="eastAsia"/>
        </w:rPr>
      </w:pPr>
    </w:p>
    <w:tbl>
      <w:tblPr>
        <w:tblpPr w:leftFromText="180" w:rightFromText="180" w:vertAnchor="page" w:horzAnchor="margin" w:tblpY="2185"/>
        <w:tblW w:w="15630" w:type="dxa"/>
        <w:tblBorders>
          <w:top w:val="single" w:sz="2" w:space="0" w:color="DCDCDC"/>
          <w:left w:val="single" w:sz="2" w:space="0" w:color="DCDCDC"/>
          <w:bottom w:val="single" w:sz="6" w:space="0" w:color="DCDCDC"/>
          <w:right w:val="single" w:sz="6" w:space="0" w:color="DCDCDC"/>
          <w:insideH w:val="outset" w:sz="6" w:space="0" w:color="auto"/>
          <w:insideV w:val="outset" w:sz="6" w:space="0" w:color="auto"/>
        </w:tblBorders>
        <w:shd w:val="clear" w:color="auto" w:fill="FFFFFF"/>
        <w:tblLayout w:type="fixed"/>
        <w:tblCellMar>
          <w:left w:w="0" w:type="dxa"/>
          <w:right w:w="0" w:type="dxa"/>
        </w:tblCellMar>
        <w:tblLook w:val="04A0"/>
      </w:tblPr>
      <w:tblGrid>
        <w:gridCol w:w="1001"/>
        <w:gridCol w:w="8909"/>
        <w:gridCol w:w="2951"/>
        <w:gridCol w:w="2769"/>
      </w:tblGrid>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职权编码</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left"/>
              <w:rPr>
                <w:rFonts w:ascii="微软雅黑" w:eastAsia="微软雅黑" w:hAnsi="微软雅黑" w:cs="微软雅黑"/>
                <w:color w:val="000000"/>
                <w:szCs w:val="21"/>
              </w:rPr>
            </w:pPr>
            <w:r>
              <w:rPr>
                <w:rFonts w:ascii="仿宋_GB2312" w:eastAsia="仿宋_GB2312" w:hAnsi="宋体" w:cs="宋体"/>
                <w:kern w:val="0"/>
                <w:szCs w:val="21"/>
              </w:rPr>
              <w:t>1900-E-00200-140981</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职权类型</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jc w:val="center"/>
              <w:rPr>
                <w:rFonts w:ascii="微软雅黑" w:eastAsia="微软雅黑" w:hAnsi="微软雅黑" w:cs="微软雅黑"/>
                <w:color w:val="000000"/>
                <w:szCs w:val="21"/>
              </w:rPr>
            </w:pPr>
            <w:r>
              <w:rPr>
                <w:rFonts w:ascii="宋体" w:hAnsi="宋体" w:cs="宋体" w:hint="eastAsia"/>
                <w:kern w:val="0"/>
                <w:sz w:val="18"/>
                <w:szCs w:val="18"/>
              </w:rPr>
              <w:t>行政裁决</w:t>
            </w: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职权名称</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rPr>
                <w:rFonts w:ascii="微软雅黑" w:eastAsia="微软雅黑" w:hAnsi="微软雅黑" w:cs="微软雅黑"/>
                <w:color w:val="000000"/>
                <w:szCs w:val="21"/>
              </w:rPr>
            </w:pPr>
            <w:r>
              <w:rPr>
                <w:rFonts w:ascii="宋体" w:hAnsi="宋体" w:cs="宋体" w:hint="eastAsia"/>
                <w:kern w:val="0"/>
                <w:sz w:val="18"/>
                <w:szCs w:val="18"/>
              </w:rPr>
              <w:t>计量纠纷仲裁检定和调解</w:t>
            </w: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子　　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jc w:val="left"/>
              <w:rPr>
                <w:rFonts w:ascii="微软雅黑" w:eastAsia="微软雅黑" w:hAnsi="微软雅黑" w:cs="微软雅黑"/>
                <w:color w:val="000000"/>
                <w:szCs w:val="21"/>
              </w:rPr>
            </w:pP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职权依据</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行政法规：</w:t>
            </w:r>
            <w:r>
              <w:rPr>
                <w:rFonts w:ascii="宋体" w:hAnsi="宋体" w:cs="宋体" w:hint="eastAsia"/>
                <w:kern w:val="0"/>
                <w:sz w:val="18"/>
                <w:szCs w:val="18"/>
              </w:rPr>
              <w:t>《中华人民共和国计量法实施细则》（1987年1月19日国务院批准1987年2月1日国家计量局发布） 第二十六条</w:t>
            </w: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责任事项</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1.受理责任：公示应当提交的材料，一次性告知补正材料，依法受理或不予受理（不予受理应当告知理由）。</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2.审查责任：对申请书中的有关内容进行审查，包括：计量纠纷双方的单位名称、地址及其法定代表人的姓名、职务；申请仲裁检定的理由与要求；有关证明材料或实物。仲裁检定委托书中委托单位的名称、地址，委托仲裁检定的内容和要求。经审查符合要求的，确定仲裁计量检定机构。</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3.告知责任：告知纠纷双方在接到通知后对与纠纷有关的计量器具实行保全措施，即不允许有任何理由破坏其原始状态。进行仲裁检定时，当事人双方应在场，无正当理由拒不到场的可进行缺席仲裁检定。</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4.检定责任：法定计量检定机构使用社会公用计量标准实施仲裁检定，并依据国家计量检定规程进行或计量行政部门指定的检定方法文件进行。并在规定的时间内完成，出具仲裁检定证书。</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5.送达责任： 仲裁检定后，计量行政部门审核仲裁检定证书，通知当事人或委托单位。</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6.调解责任：计量行政部门将仲裁检定结果通知当事人或委托人。当事人一方或双方提出调解或仲裁申请的，进行调解或仲裁，并制作调解或仲裁决定书，由双方当事人签字。</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7.其他：法律法规规章规定应履行的其他责任。</w:t>
            </w:r>
          </w:p>
          <w:p w:rsidR="005A0668" w:rsidRDefault="005A0668" w:rsidP="00911021">
            <w:pPr>
              <w:widowControl/>
              <w:jc w:val="left"/>
              <w:rPr>
                <w:rFonts w:ascii="宋体" w:hAnsi="宋体" w:cs="宋体"/>
                <w:kern w:val="0"/>
                <w:sz w:val="18"/>
                <w:szCs w:val="18"/>
              </w:rPr>
            </w:pPr>
          </w:p>
          <w:p w:rsidR="005A0668" w:rsidRDefault="005A0668" w:rsidP="00911021">
            <w:pPr>
              <w:widowControl/>
              <w:jc w:val="left"/>
              <w:rPr>
                <w:rFonts w:ascii="微软雅黑" w:eastAsia="微软雅黑" w:hAnsi="微软雅黑" w:cs="微软雅黑"/>
                <w:color w:val="000000"/>
                <w:szCs w:val="21"/>
              </w:rPr>
            </w:pP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问</w:t>
            </w:r>
            <w:proofErr w:type="gramStart"/>
            <w:r>
              <w:rPr>
                <w:rFonts w:ascii="微软雅黑" w:eastAsia="微软雅黑" w:hAnsi="微软雅黑" w:cs="微软雅黑" w:hint="eastAsia"/>
                <w:color w:val="000000"/>
                <w:kern w:val="0"/>
                <w:szCs w:val="21"/>
              </w:rPr>
              <w:t>责依据</w:t>
            </w:r>
            <w:proofErr w:type="gramEnd"/>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jc w:val="left"/>
              <w:rPr>
                <w:rFonts w:ascii="宋体" w:hAnsi="宋体" w:cs="宋体"/>
                <w:kern w:val="0"/>
                <w:sz w:val="18"/>
                <w:szCs w:val="18"/>
              </w:rPr>
            </w:pPr>
          </w:p>
          <w:p w:rsidR="005A0668" w:rsidRDefault="005A0668" w:rsidP="00911021">
            <w:pPr>
              <w:widowControl/>
              <w:jc w:val="left"/>
              <w:rPr>
                <w:rFonts w:ascii="宋体" w:hAnsi="宋体" w:cs="宋体"/>
                <w:kern w:val="0"/>
                <w:sz w:val="18"/>
                <w:szCs w:val="18"/>
              </w:rPr>
            </w:pPr>
            <w:r>
              <w:rPr>
                <w:rFonts w:ascii="宋体" w:hAnsi="宋体" w:cs="宋体" w:hint="eastAsia"/>
                <w:b/>
                <w:bCs/>
                <w:kern w:val="0"/>
                <w:sz w:val="18"/>
                <w:szCs w:val="18"/>
              </w:rPr>
              <w:t>法律：</w:t>
            </w:r>
            <w:r>
              <w:rPr>
                <w:rFonts w:ascii="宋体" w:hAnsi="宋体" w:cs="宋体" w:hint="eastAsia"/>
                <w:kern w:val="0"/>
                <w:sz w:val="18"/>
                <w:szCs w:val="18"/>
              </w:rPr>
              <w:t>《中华人民共和国计量法》第二十九条</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《中华人民共和国公务员法》</w:t>
            </w:r>
          </w:p>
          <w:p w:rsidR="005A0668" w:rsidRDefault="005A0668" w:rsidP="00911021">
            <w:pPr>
              <w:widowControl/>
              <w:jc w:val="left"/>
              <w:rPr>
                <w:rFonts w:ascii="宋体" w:hAnsi="宋体" w:cs="宋体"/>
                <w:kern w:val="0"/>
                <w:sz w:val="18"/>
                <w:szCs w:val="18"/>
              </w:rPr>
            </w:pPr>
            <w:r>
              <w:rPr>
                <w:rFonts w:ascii="宋体" w:hAnsi="宋体" w:cs="宋体" w:hint="eastAsia"/>
                <w:b/>
                <w:bCs/>
                <w:kern w:val="0"/>
                <w:sz w:val="18"/>
                <w:szCs w:val="18"/>
              </w:rPr>
              <w:t>行政法规：</w:t>
            </w:r>
            <w:r>
              <w:rPr>
                <w:rFonts w:ascii="宋体" w:hAnsi="宋体" w:cs="宋体" w:hint="eastAsia"/>
                <w:kern w:val="0"/>
                <w:sz w:val="18"/>
                <w:szCs w:val="18"/>
              </w:rPr>
              <w:t>《中华人民共和国计量法实施细则》第五十七条</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t>《行政机关公务员处分条例》</w:t>
            </w:r>
          </w:p>
          <w:p w:rsidR="005A0668" w:rsidRDefault="005A0668" w:rsidP="00911021">
            <w:pPr>
              <w:widowControl/>
              <w:jc w:val="left"/>
              <w:rPr>
                <w:rFonts w:ascii="宋体" w:hAnsi="宋体" w:cs="宋体"/>
                <w:kern w:val="0"/>
                <w:sz w:val="18"/>
                <w:szCs w:val="18"/>
              </w:rPr>
            </w:pPr>
            <w:r>
              <w:rPr>
                <w:rFonts w:ascii="宋体" w:hAnsi="宋体" w:cs="宋体" w:hint="eastAsia"/>
                <w:kern w:val="0"/>
                <w:sz w:val="18"/>
                <w:szCs w:val="18"/>
              </w:rPr>
              <w:lastRenderedPageBreak/>
              <w:t>《事业单位人事管理条例》</w:t>
            </w:r>
          </w:p>
          <w:p w:rsidR="005A0668" w:rsidRDefault="005A0668" w:rsidP="00911021">
            <w:pPr>
              <w:widowControl/>
              <w:jc w:val="left"/>
              <w:rPr>
                <w:rFonts w:ascii="宋体" w:hAnsi="宋体" w:cs="宋体"/>
                <w:kern w:val="0"/>
                <w:sz w:val="18"/>
                <w:szCs w:val="18"/>
              </w:rPr>
            </w:pPr>
            <w:r>
              <w:rPr>
                <w:rFonts w:ascii="宋体" w:hAnsi="宋体" w:cs="宋体" w:hint="eastAsia"/>
                <w:b/>
                <w:bCs/>
                <w:kern w:val="0"/>
                <w:sz w:val="18"/>
                <w:szCs w:val="18"/>
              </w:rPr>
              <w:t>党纪：</w:t>
            </w:r>
            <w:r>
              <w:rPr>
                <w:rFonts w:ascii="宋体" w:hAnsi="宋体" w:cs="宋体" w:hint="eastAsia"/>
                <w:kern w:val="0"/>
                <w:sz w:val="18"/>
                <w:szCs w:val="18"/>
              </w:rPr>
              <w:t>《中国共产党纪律处分条例》</w:t>
            </w:r>
          </w:p>
          <w:p w:rsidR="005A0668" w:rsidRDefault="005A0668" w:rsidP="00911021">
            <w:pPr>
              <w:widowControl/>
              <w:jc w:val="left"/>
              <w:rPr>
                <w:rFonts w:ascii="微软雅黑" w:eastAsia="微软雅黑" w:hAnsi="微软雅黑" w:cs="微软雅黑"/>
                <w:color w:val="000000"/>
                <w:szCs w:val="21"/>
              </w:rPr>
            </w:pPr>
            <w:r>
              <w:rPr>
                <w:rFonts w:ascii="宋体" w:hAnsi="宋体" w:cs="宋体" w:hint="eastAsia"/>
                <w:b/>
                <w:bCs/>
                <w:kern w:val="0"/>
                <w:sz w:val="18"/>
                <w:szCs w:val="18"/>
              </w:rPr>
              <w:t>其他：</w:t>
            </w:r>
            <w:r>
              <w:rPr>
                <w:rFonts w:ascii="宋体" w:hAnsi="宋体" w:cs="宋体" w:hint="eastAsia"/>
                <w:kern w:val="0"/>
                <w:sz w:val="18"/>
                <w:szCs w:val="18"/>
              </w:rPr>
              <w:t>违反有关法律法规规章文件规定的行为</w:t>
            </w: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实施主体</w:t>
            </w:r>
          </w:p>
        </w:tc>
        <w:tc>
          <w:tcPr>
            <w:tcW w:w="890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c>
          <w:tcPr>
            <w:tcW w:w="295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责任主体</w:t>
            </w:r>
          </w:p>
        </w:tc>
        <w:tc>
          <w:tcPr>
            <w:tcW w:w="2769" w:type="dxa"/>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left"/>
              <w:rPr>
                <w:rFonts w:ascii="微软雅黑" w:eastAsia="微软雅黑" w:hAnsi="微软雅黑" w:cs="微软雅黑"/>
                <w:color w:val="000000"/>
                <w:szCs w:val="21"/>
              </w:rPr>
            </w:pPr>
            <w:r>
              <w:rPr>
                <w:rFonts w:ascii="宋体" w:hAnsi="宋体" w:hint="eastAsia"/>
                <w:sz w:val="18"/>
                <w:szCs w:val="18"/>
              </w:rPr>
              <w:t>原平市市场和质量监督管理局</w:t>
            </w: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备注</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jc w:val="left"/>
              <w:rPr>
                <w:rFonts w:ascii="微软雅黑" w:eastAsia="微软雅黑" w:hAnsi="微软雅黑" w:cs="微软雅黑"/>
                <w:color w:val="000000"/>
                <w:szCs w:val="21"/>
              </w:rPr>
            </w:pP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流程图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object w:dxaOrig="18131" w:dyaOrig="18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6pt;height:366pt" o:ole="">
                  <v:imagedata r:id="rId6" o:title=""/>
                </v:shape>
                <o:OLEObject Type="Embed" ProgID="Visio.Drawing.11" ShapeID="_x0000_i1025" DrawAspect="Content" ObjectID="_1595141345" r:id="rId7"/>
              </w:object>
            </w:r>
          </w:p>
          <w:p w:rsidR="005A0668" w:rsidRDefault="005A0668" w:rsidP="00911021">
            <w:pPr>
              <w:widowControl/>
              <w:wordWrap w:val="0"/>
              <w:spacing w:line="420" w:lineRule="atLeast"/>
              <w:jc w:val="center"/>
              <w:rPr>
                <w:rFonts w:ascii="微软雅黑" w:eastAsia="微软雅黑" w:hAnsi="微软雅黑" w:cs="微软雅黑"/>
                <w:color w:val="000000"/>
                <w:szCs w:val="21"/>
              </w:rPr>
            </w:pPr>
          </w:p>
        </w:tc>
      </w:tr>
      <w:tr w:rsidR="005A0668" w:rsidTr="00911021">
        <w:trPr>
          <w:trHeight w:val="142"/>
        </w:trPr>
        <w:tc>
          <w:tcPr>
            <w:tcW w:w="1001" w:type="dxa"/>
            <w:tcBorders>
              <w:top w:val="single" w:sz="6" w:space="0" w:color="DCDCDC"/>
              <w:left w:val="single" w:sz="6" w:space="0" w:color="DCDCDC"/>
              <w:bottom w:val="single" w:sz="2" w:space="0" w:color="DCDCDC"/>
              <w:right w:val="single" w:sz="2" w:space="0" w:color="DCDCDC"/>
            </w:tcBorders>
            <w:shd w:val="clear" w:color="auto" w:fill="FFFFFF"/>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lastRenderedPageBreak/>
              <w:t>廉政风险防控图</w:t>
            </w:r>
          </w:p>
        </w:tc>
        <w:tc>
          <w:tcPr>
            <w:tcW w:w="14629" w:type="dxa"/>
            <w:gridSpan w:val="3"/>
            <w:tcBorders>
              <w:top w:val="single" w:sz="6" w:space="0" w:color="DCDCDC"/>
              <w:left w:val="single" w:sz="6" w:space="0" w:color="DCDCDC"/>
              <w:bottom w:val="single" w:sz="2" w:space="0" w:color="DCDCDC"/>
              <w:right w:val="single" w:sz="2" w:space="0" w:color="DCDCDC"/>
            </w:tcBorders>
            <w:shd w:val="clear" w:color="auto" w:fill="FFFFFF"/>
            <w:tcMar>
              <w:left w:w="150" w:type="dxa"/>
            </w:tcMar>
            <w:vAlign w:val="center"/>
          </w:tcPr>
          <w:p w:rsidR="005A0668" w:rsidRDefault="005A0668" w:rsidP="00911021">
            <w:pPr>
              <w:widowControl/>
              <w:wordWrap w:val="0"/>
              <w:spacing w:line="420" w:lineRule="atLeast"/>
              <w:jc w:val="center"/>
              <w:rPr>
                <w:rFonts w:ascii="微软雅黑" w:eastAsia="微软雅黑" w:hAnsi="微软雅黑" w:cs="微软雅黑"/>
                <w:color w:val="000000"/>
                <w:szCs w:val="21"/>
              </w:rPr>
            </w:pPr>
            <w:r>
              <w:rPr>
                <w:rFonts w:ascii="微软雅黑" w:eastAsia="微软雅黑" w:hAnsi="微软雅黑" w:cs="微软雅黑"/>
                <w:noProof/>
                <w:color w:val="000000"/>
                <w:szCs w:val="21"/>
              </w:rPr>
              <w:drawing>
                <wp:inline distT="0" distB="0" distL="0" distR="0">
                  <wp:extent cx="4229100" cy="5273040"/>
                  <wp:effectExtent l="19050" t="0" r="0" b="0"/>
                  <wp:docPr id="4608" name="图片 277" descr="8行政裁决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7" descr="8行政裁决样表"/>
                          <pic:cNvPicPr>
                            <a:picLocks noChangeAspect="1" noChangeArrowheads="1"/>
                          </pic:cNvPicPr>
                        </pic:nvPicPr>
                        <pic:blipFill>
                          <a:blip r:embed="rId8" cstate="print"/>
                          <a:srcRect/>
                          <a:stretch>
                            <a:fillRect/>
                          </a:stretch>
                        </pic:blipFill>
                        <pic:spPr bwMode="auto">
                          <a:xfrm>
                            <a:off x="0" y="0"/>
                            <a:ext cx="4229100" cy="5273040"/>
                          </a:xfrm>
                          <a:prstGeom prst="rect">
                            <a:avLst/>
                          </a:prstGeom>
                          <a:noFill/>
                          <a:ln w="9525">
                            <a:noFill/>
                            <a:miter lim="800000"/>
                            <a:headEnd/>
                            <a:tailEnd/>
                          </a:ln>
                        </pic:spPr>
                      </pic:pic>
                    </a:graphicData>
                  </a:graphic>
                </wp:inline>
              </w:drawing>
            </w:r>
          </w:p>
        </w:tc>
      </w:tr>
    </w:tbl>
    <w:p w:rsidR="005A0668" w:rsidRDefault="005A0668" w:rsidP="005A0668"/>
    <w:sectPr w:rsidR="005A0668" w:rsidSect="005A066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0668"/>
    <w:rsid w:val="005A0668"/>
    <w:rsid w:val="00E51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0668"/>
    <w:rPr>
      <w:sz w:val="18"/>
      <w:szCs w:val="18"/>
    </w:rPr>
  </w:style>
  <w:style w:type="character" w:customStyle="1" w:styleId="Char">
    <w:name w:val="批注框文本 Char"/>
    <w:basedOn w:val="a0"/>
    <w:link w:val="a3"/>
    <w:uiPriority w:val="99"/>
    <w:semiHidden/>
    <w:rsid w:val="005A066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2018-08-07T01:47:00Z</dcterms:created>
  <dcterms:modified xsi:type="dcterms:W3CDTF">2018-08-07T01:59:00Z</dcterms:modified>
</cp:coreProperties>
</file>