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6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职权编码</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0600-B-00100-140981</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职权类型</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行政处罚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职权名称</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对基层法律服务所违法执业的处罚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子　　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【部门规章】《基层法律服务所管理办法》第四十二条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责任事项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1、立案责任：对监督管理中发现的、社会举报的、上级机关交办的、下级机关报请的、有关部门移送等符合立案法定条件的案件，予以审查后，确定是否立案。2、调查责任：案件的调查取证，必须有两名以上执法人员参加，并出示有关证件，对涉及国家机密、商业秘密和个人隐私的，应当保守秘密。依法收集制作相关证据。调查终结后，承办人应当写出调查报告。3、审查责任：对案件调查情况进行合议，认为违法事实不成立的，予以销案。违法行为轻微，没有造成危害后果的，不予以行政处罚。不属于本机关管辖的，移送有管辖权的行政机关处理。涉嫌犯罪的，移送司法机关。4、告知责任：告知当事人拟作出行政处罚的事实、理由、依据以及当事人依法享有的权利等。应听取当事人的陈述和申辩，符合听证条件的，告知当事人申请举行听证的权利。5、决定责任：制作行政处罚决定书（载明违法事实、处罚的内容和依据等内容）。6、送达责任：行政处罚决定书应在法定期限通过法定方式送达给当事人。7、执行责任：依照生效的处罚决定履行或者执行。8、其他：法律法规规章文件规定应履行的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问责依据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法律】《中华人民共和国行政处罚法》第五十五条至第六十二条；【法律】《公务员法》第五十三条、第五十四条；【行政法规】《行政机关公务员处分条例》（国务院第495号令）第十九至二十八条；【地方性法规】《山西省行政执法条例》第四十至四十二条；【部门规章】《基层法律服务所管理办法》第四十二条；【党内法规】《中国共产党纪律处分条例》；【其他】其他违反法律法规规章文件规定的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实施主体</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 xml:space="preserve">基层工作管理指导股  </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责任主体</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司法局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备注</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流程图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3726815" cy="5271135"/>
                  <wp:effectExtent l="0" t="0" r="6985" b="5715"/>
                  <wp:docPr id="9" name="图片 1" descr="08150919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0815091951621"/>
                          <pic:cNvPicPr>
                            <a:picLocks noChangeAspect="1"/>
                          </pic:cNvPicPr>
                        </pic:nvPicPr>
                        <pic:blipFill>
                          <a:blip r:embed="rId4"/>
                          <a:stretch>
                            <a:fillRect/>
                          </a:stretch>
                        </pic:blipFill>
                        <pic:spPr>
                          <a:xfrm>
                            <a:off x="0" y="0"/>
                            <a:ext cx="3726815" cy="5271135"/>
                          </a:xfrm>
                          <a:prstGeom prst="rect">
                            <a:avLst/>
                          </a:prstGeom>
                          <a:noFill/>
                          <a:ln w="9525">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廉政风险防控图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3726815" cy="5271135"/>
                  <wp:effectExtent l="0" t="0" r="6985" b="5715"/>
                  <wp:docPr id="2" name="图片 2" descr="08150947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15094751861"/>
                          <pic:cNvPicPr>
                            <a:picLocks noChangeAspect="1"/>
                          </pic:cNvPicPr>
                        </pic:nvPicPr>
                        <pic:blipFill>
                          <a:blip r:embed="rId5"/>
                          <a:stretch>
                            <a:fillRect/>
                          </a:stretch>
                        </pic:blipFill>
                        <pic:spPr>
                          <a:xfrm>
                            <a:off x="0" y="0"/>
                            <a:ext cx="3726815" cy="5271135"/>
                          </a:xfrm>
                          <a:prstGeom prst="rect">
                            <a:avLst/>
                          </a:prstGeom>
                          <a:noFill/>
                          <a:ln w="9525">
                            <a:noFill/>
                          </a:ln>
                        </pic:spPr>
                      </pic:pic>
                    </a:graphicData>
                  </a:graphic>
                </wp:inline>
              </w:drawing>
            </w:r>
          </w:p>
        </w:tc>
      </w:tr>
    </w:tbl>
    <w:p>
      <w:pPr>
        <w:rPr>
          <w:rFonts w:hint="eastAsia" w:ascii="微软雅黑" w:hAnsi="微软雅黑" w:eastAsia="微软雅黑" w:cs="微软雅黑"/>
          <w:sz w:val="21"/>
          <w:szCs w:val="21"/>
        </w:rPr>
      </w:pPr>
    </w:p>
    <w:tbl>
      <w:tblPr>
        <w:tblStyle w:val="3"/>
        <w:tblW w:w="136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职权编码</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0600-B-00200-140981</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职权类型</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行政处罚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职权名称</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对基层法律服务工作者违法行为的处罚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子　　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i w:val="0"/>
                <w:snapToGrid/>
                <w:color w:val="000000"/>
                <w:sz w:val="21"/>
                <w:szCs w:val="21"/>
                <w:u w:val="none"/>
                <w:lang w:eastAsia="zh-CN"/>
              </w:rPr>
              <w:t>【部门规章】《基层法律服务所工作者管理办法》第五十五条</w:t>
            </w:r>
            <w:r>
              <w:rPr>
                <w:rFonts w:hint="eastAsia" w:ascii="微软雅黑" w:hAnsi="微软雅黑" w:eastAsia="微软雅黑" w:cs="微软雅黑"/>
                <w:b w:val="0"/>
                <w:i w:val="0"/>
                <w:snapToGrid/>
                <w:color w:val="000000"/>
                <w:sz w:val="21"/>
                <w:szCs w:val="21"/>
                <w:u w:val="non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责任事项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i w:val="0"/>
                <w:snapToGrid/>
                <w:color w:val="000000"/>
                <w:sz w:val="21"/>
                <w:szCs w:val="21"/>
                <w:u w:val="none"/>
                <w:lang w:eastAsia="zh-CN"/>
              </w:rPr>
              <w:t>1、立案责任：</w:t>
            </w:r>
            <w:r>
              <w:rPr>
                <w:rFonts w:hint="eastAsia" w:ascii="微软雅黑" w:hAnsi="微软雅黑" w:eastAsia="微软雅黑" w:cs="微软雅黑"/>
                <w:b w:val="0"/>
                <w:i w:val="0"/>
                <w:snapToGrid/>
                <w:color w:val="000000"/>
                <w:sz w:val="21"/>
                <w:szCs w:val="21"/>
                <w:u w:val="none"/>
                <w:lang w:eastAsia="zh-CN"/>
              </w:rPr>
              <w:t>对监督管理中发现的、社会举报的、上级机关交办的、下级机关报请的、有关部门移送等符合立案法定条件的案件，予以审查后，确定是否立案。</w:t>
            </w:r>
            <w:r>
              <w:rPr>
                <w:rFonts w:hint="eastAsia" w:ascii="微软雅黑" w:hAnsi="微软雅黑" w:eastAsia="微软雅黑" w:cs="微软雅黑"/>
                <w:b/>
                <w:i w:val="0"/>
                <w:snapToGrid/>
                <w:color w:val="000000"/>
                <w:sz w:val="21"/>
                <w:szCs w:val="21"/>
                <w:u w:val="none"/>
                <w:lang w:eastAsia="zh-CN"/>
              </w:rPr>
              <w:t>2、调查责任</w:t>
            </w:r>
            <w:r>
              <w:rPr>
                <w:rFonts w:hint="eastAsia" w:ascii="微软雅黑" w:hAnsi="微软雅黑" w:eastAsia="微软雅黑" w:cs="微软雅黑"/>
                <w:b w:val="0"/>
                <w:i w:val="0"/>
                <w:snapToGrid/>
                <w:color w:val="000000"/>
                <w:sz w:val="21"/>
                <w:szCs w:val="21"/>
                <w:u w:val="none"/>
                <w:lang w:eastAsia="zh-CN"/>
              </w:rPr>
              <w:t>：案件的调查取证，必须有两名以上执法人员参加，并出示有关证件，对涉及国家机密、商业秘密和个人隐私的，应当保守秘密。依法收集制作相关证据。调查终结后，承办人应当写出调查报告。</w:t>
            </w:r>
            <w:r>
              <w:rPr>
                <w:rFonts w:hint="eastAsia" w:ascii="微软雅黑" w:hAnsi="微软雅黑" w:eastAsia="微软雅黑" w:cs="微软雅黑"/>
                <w:b/>
                <w:i w:val="0"/>
                <w:snapToGrid/>
                <w:color w:val="000000"/>
                <w:sz w:val="21"/>
                <w:szCs w:val="21"/>
                <w:u w:val="none"/>
                <w:lang w:eastAsia="zh-CN"/>
              </w:rPr>
              <w:t>3、审查责任：</w:t>
            </w:r>
            <w:r>
              <w:rPr>
                <w:rFonts w:hint="eastAsia" w:ascii="微软雅黑" w:hAnsi="微软雅黑" w:eastAsia="微软雅黑" w:cs="微软雅黑"/>
                <w:b w:val="0"/>
                <w:i w:val="0"/>
                <w:snapToGrid/>
                <w:color w:val="000000"/>
                <w:sz w:val="21"/>
                <w:szCs w:val="21"/>
                <w:u w:val="none"/>
                <w:lang w:eastAsia="zh-CN"/>
              </w:rPr>
              <w:t>对案件调查情况进行合议，认为违法事实不成立的，予以销案。违法行为轻微，没有造成危害后果的，不予以行政处罚。不属于本机关管辖的，移送有管辖权的行政机关处理。涉嫌犯罪的，移送司法机关。</w:t>
            </w:r>
            <w:r>
              <w:rPr>
                <w:rFonts w:hint="eastAsia" w:ascii="微软雅黑" w:hAnsi="微软雅黑" w:eastAsia="微软雅黑" w:cs="微软雅黑"/>
                <w:b/>
                <w:i w:val="0"/>
                <w:snapToGrid/>
                <w:color w:val="000000"/>
                <w:sz w:val="21"/>
                <w:szCs w:val="21"/>
                <w:u w:val="none"/>
                <w:lang w:eastAsia="zh-CN"/>
              </w:rPr>
              <w:t>4、告知责任</w:t>
            </w:r>
            <w:r>
              <w:rPr>
                <w:rFonts w:hint="eastAsia" w:ascii="微软雅黑" w:hAnsi="微软雅黑" w:eastAsia="微软雅黑" w:cs="微软雅黑"/>
                <w:b w:val="0"/>
                <w:i w:val="0"/>
                <w:snapToGrid/>
                <w:color w:val="000000"/>
                <w:sz w:val="21"/>
                <w:szCs w:val="21"/>
                <w:u w:val="none"/>
                <w:lang w:eastAsia="zh-CN"/>
              </w:rPr>
              <w:t>：告知当事人拟作出行政处罚的事实、理由、依据以及当事人依法享有的权利等。应听取当事人的陈述和申辩，符合听证条件的，告知当事人申请举行听证的权利。</w:t>
            </w:r>
            <w:r>
              <w:rPr>
                <w:rFonts w:hint="eastAsia" w:ascii="微软雅黑" w:hAnsi="微软雅黑" w:eastAsia="微软雅黑" w:cs="微软雅黑"/>
                <w:b/>
                <w:i w:val="0"/>
                <w:snapToGrid/>
                <w:color w:val="000000"/>
                <w:sz w:val="21"/>
                <w:szCs w:val="21"/>
                <w:u w:val="none"/>
                <w:lang w:eastAsia="zh-CN"/>
              </w:rPr>
              <w:t>5、决定责任：</w:t>
            </w:r>
            <w:r>
              <w:rPr>
                <w:rFonts w:hint="eastAsia" w:ascii="微软雅黑" w:hAnsi="微软雅黑" w:eastAsia="微软雅黑" w:cs="微软雅黑"/>
                <w:b w:val="0"/>
                <w:i w:val="0"/>
                <w:snapToGrid/>
                <w:color w:val="000000"/>
                <w:sz w:val="21"/>
                <w:szCs w:val="21"/>
                <w:u w:val="none"/>
                <w:lang w:eastAsia="zh-CN"/>
              </w:rPr>
              <w:t>制作行政处罚决定书（载明违法事实、处罚的内容和依据等内容）。</w:t>
            </w:r>
            <w:r>
              <w:rPr>
                <w:rFonts w:hint="eastAsia" w:ascii="微软雅黑" w:hAnsi="微软雅黑" w:eastAsia="微软雅黑" w:cs="微软雅黑"/>
                <w:b/>
                <w:i w:val="0"/>
                <w:snapToGrid/>
                <w:color w:val="000000"/>
                <w:sz w:val="21"/>
                <w:szCs w:val="21"/>
                <w:u w:val="none"/>
                <w:lang w:eastAsia="zh-CN"/>
              </w:rPr>
              <w:t>6、送达责任：</w:t>
            </w:r>
            <w:r>
              <w:rPr>
                <w:rFonts w:hint="eastAsia" w:ascii="微软雅黑" w:hAnsi="微软雅黑" w:eastAsia="微软雅黑" w:cs="微软雅黑"/>
                <w:b w:val="0"/>
                <w:i w:val="0"/>
                <w:snapToGrid/>
                <w:color w:val="000000"/>
                <w:sz w:val="21"/>
                <w:szCs w:val="21"/>
                <w:u w:val="none"/>
                <w:lang w:eastAsia="zh-CN"/>
              </w:rPr>
              <w:t>行政处罚决定书应在法定期限通过法定方式送达给当事人。</w:t>
            </w:r>
            <w:r>
              <w:rPr>
                <w:rFonts w:hint="eastAsia" w:ascii="微软雅黑" w:hAnsi="微软雅黑" w:eastAsia="微软雅黑" w:cs="微软雅黑"/>
                <w:b/>
                <w:i w:val="0"/>
                <w:snapToGrid/>
                <w:color w:val="000000"/>
                <w:sz w:val="21"/>
                <w:szCs w:val="21"/>
                <w:u w:val="none"/>
                <w:lang w:eastAsia="zh-CN"/>
              </w:rPr>
              <w:t>7、执行责任：</w:t>
            </w:r>
            <w:r>
              <w:rPr>
                <w:rFonts w:hint="eastAsia" w:ascii="微软雅黑" w:hAnsi="微软雅黑" w:eastAsia="微软雅黑" w:cs="微软雅黑"/>
                <w:b w:val="0"/>
                <w:i w:val="0"/>
                <w:snapToGrid/>
                <w:color w:val="000000"/>
                <w:sz w:val="21"/>
                <w:szCs w:val="21"/>
                <w:u w:val="none"/>
                <w:lang w:eastAsia="zh-CN"/>
              </w:rPr>
              <w:t>依照生效的处罚决定履行或者执行。</w:t>
            </w:r>
            <w:r>
              <w:rPr>
                <w:rFonts w:hint="eastAsia" w:ascii="微软雅黑" w:hAnsi="微软雅黑" w:eastAsia="微软雅黑" w:cs="微软雅黑"/>
                <w:b/>
                <w:i w:val="0"/>
                <w:snapToGrid/>
                <w:color w:val="000000"/>
                <w:sz w:val="21"/>
                <w:szCs w:val="21"/>
                <w:u w:val="none"/>
                <w:lang w:eastAsia="zh-CN"/>
              </w:rPr>
              <w:t>8、其他：</w:t>
            </w:r>
            <w:r>
              <w:rPr>
                <w:rFonts w:hint="eastAsia" w:ascii="微软雅黑" w:hAnsi="微软雅黑" w:eastAsia="微软雅黑" w:cs="微软雅黑"/>
                <w:b w:val="0"/>
                <w:i w:val="0"/>
                <w:snapToGrid/>
                <w:color w:val="000000"/>
                <w:sz w:val="21"/>
                <w:szCs w:val="21"/>
                <w:u w:val="none"/>
                <w:lang w:eastAsia="zh-CN"/>
              </w:rPr>
              <w:t>法律法规规章文件规定应履行的责任。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问责依据</w:t>
            </w:r>
          </w:p>
        </w:tc>
        <w:tc>
          <w:tcPr>
            <w:tcW w:w="12154" w:type="dxa"/>
            <w:gridSpan w:val="3"/>
            <w:tcBorders>
              <w:tl2br w:val="nil"/>
              <w:tr2bl w:val="nil"/>
            </w:tcBorders>
            <w:shd w:val="clear" w:color="auto" w:fill="FFFFFF"/>
            <w:tcMar>
              <w:left w:w="150" w:type="dxa"/>
            </w:tcMar>
            <w:vAlign w:val="center"/>
          </w:tcPr>
          <w:p>
            <w:pPr>
              <w:spacing w:line="240" w:lineRule="exact"/>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sz w:val="21"/>
                <w:szCs w:val="21"/>
              </w:rPr>
              <w:t>【法律】《中华人民共和国行政处罚法》第五十五条至第六十二条；【法律】《公务员法》第五十三条、第五十四条；【行政法规】《行政机关公务员处分条例》（国务院第495号令）第十九至二十八条；【地方性法规】《山西省行政执法条例》第四十至四十二条；</w:t>
            </w:r>
            <w:r>
              <w:rPr>
                <w:rFonts w:hint="eastAsia" w:ascii="微软雅黑" w:hAnsi="微软雅黑" w:eastAsia="微软雅黑" w:cs="微软雅黑"/>
                <w:sz w:val="21"/>
                <w:szCs w:val="21"/>
                <w:lang w:eastAsia="zh-CN"/>
              </w:rPr>
              <w:t>【部门规章】《基层法律服务所工作者管理办法》第五十五条；</w:t>
            </w:r>
            <w:r>
              <w:rPr>
                <w:rFonts w:hint="eastAsia" w:ascii="微软雅黑" w:hAnsi="微软雅黑" w:eastAsia="微软雅黑" w:cs="微软雅黑"/>
                <w:sz w:val="21"/>
                <w:szCs w:val="21"/>
              </w:rPr>
              <w:t>【党内法规】《中国共产党纪律处分条例》；【其他】其他违反法律法规规章文件规定的行为。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实施主体</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 xml:space="preserve">基层工作管理指导股  </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责任主体</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司法局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备注</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流程图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4455160" cy="6302375"/>
                  <wp:effectExtent l="0" t="0" r="2540" b="3175"/>
                  <wp:docPr id="8" name="图片 3" descr="新建 microsoft word 97 - 2003 文档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新建 microsoft word 97 - 2003 文档_1"/>
                          <pic:cNvPicPr>
                            <a:picLocks noChangeAspect="1"/>
                          </pic:cNvPicPr>
                        </pic:nvPicPr>
                        <pic:blipFill>
                          <a:blip r:embed="rId6"/>
                          <a:stretch>
                            <a:fillRect/>
                          </a:stretch>
                        </pic:blipFill>
                        <pic:spPr>
                          <a:xfrm>
                            <a:off x="0" y="0"/>
                            <a:ext cx="4455160" cy="6302375"/>
                          </a:xfrm>
                          <a:prstGeom prst="rect">
                            <a:avLst/>
                          </a:prstGeom>
                          <a:noFill/>
                          <a:ln w="9525">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廉政风险防控图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lang w:eastAsia="zh-CN"/>
              </w:rPr>
            </w:pPr>
            <w:r>
              <w:rPr>
                <w:rFonts w:hint="eastAsia" w:ascii="微软雅黑" w:hAnsi="微软雅黑" w:eastAsia="微软雅黑" w:cs="微软雅黑"/>
                <w:b w:val="0"/>
                <w:bCs w:val="0"/>
                <w:i w:val="0"/>
                <w:caps w:val="0"/>
                <w:color w:val="auto"/>
                <w:spacing w:val="0"/>
                <w:sz w:val="21"/>
                <w:szCs w:val="21"/>
                <w:lang w:eastAsia="zh-CN"/>
              </w:rPr>
              <w:drawing>
                <wp:inline distT="0" distB="0" distL="114300" distR="114300">
                  <wp:extent cx="3726815" cy="5271135"/>
                  <wp:effectExtent l="0" t="0" r="6985" b="5715"/>
                  <wp:docPr id="3" name="图片 4" descr="081509485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0815094853711"/>
                          <pic:cNvPicPr>
                            <a:picLocks noChangeAspect="1"/>
                          </pic:cNvPicPr>
                        </pic:nvPicPr>
                        <pic:blipFill>
                          <a:blip r:embed="rId7"/>
                          <a:stretch>
                            <a:fillRect/>
                          </a:stretch>
                        </pic:blipFill>
                        <pic:spPr>
                          <a:xfrm>
                            <a:off x="0" y="0"/>
                            <a:ext cx="3726815" cy="5271135"/>
                          </a:xfrm>
                          <a:prstGeom prst="rect">
                            <a:avLst/>
                          </a:prstGeom>
                          <a:noFill/>
                          <a:ln w="9525">
                            <a:noFill/>
                          </a:ln>
                        </pic:spPr>
                      </pic:pic>
                    </a:graphicData>
                  </a:graphic>
                </wp:inline>
              </w:drawing>
            </w:r>
          </w:p>
        </w:tc>
      </w:tr>
    </w:tbl>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tbl>
      <w:tblPr>
        <w:tblStyle w:val="3"/>
        <w:tblW w:w="136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职权编码</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0600-B-00300-140981</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职权类型</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行政处罚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职权名称</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对没有取得律师执业证书的人员以律师名义从事法律服务业务的处罚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子　　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i w:val="0"/>
                <w:snapToGrid/>
                <w:color w:val="000000"/>
                <w:sz w:val="21"/>
                <w:szCs w:val="21"/>
                <w:u w:val="none"/>
                <w:lang w:eastAsia="zh-CN"/>
              </w:rPr>
              <w:t>【法律】《律师法》第五十五条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责任事项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i w:val="0"/>
                <w:snapToGrid/>
                <w:color w:val="000000"/>
                <w:sz w:val="21"/>
                <w:szCs w:val="21"/>
                <w:u w:val="none"/>
                <w:lang w:eastAsia="zh-CN"/>
              </w:rPr>
              <w:t>1、立案责任：</w:t>
            </w:r>
            <w:r>
              <w:rPr>
                <w:rFonts w:hint="eastAsia" w:ascii="微软雅黑" w:hAnsi="微软雅黑" w:eastAsia="微软雅黑" w:cs="微软雅黑"/>
                <w:b w:val="0"/>
                <w:i w:val="0"/>
                <w:snapToGrid/>
                <w:color w:val="000000"/>
                <w:sz w:val="21"/>
                <w:szCs w:val="21"/>
                <w:u w:val="none"/>
                <w:lang w:eastAsia="zh-CN"/>
              </w:rPr>
              <w:t>对监督管理中发现的、社会举报的、上级机关交办的、下级机关报请的、有关部门移送等符合立案法定条件的案件，予以审查后，确定是否立案。</w:t>
            </w:r>
            <w:r>
              <w:rPr>
                <w:rFonts w:hint="eastAsia" w:ascii="微软雅黑" w:hAnsi="微软雅黑" w:eastAsia="微软雅黑" w:cs="微软雅黑"/>
                <w:b/>
                <w:i w:val="0"/>
                <w:snapToGrid/>
                <w:color w:val="000000"/>
                <w:sz w:val="21"/>
                <w:szCs w:val="21"/>
                <w:u w:val="none"/>
                <w:lang w:eastAsia="zh-CN"/>
              </w:rPr>
              <w:t>2、调查责任：</w:t>
            </w:r>
            <w:r>
              <w:rPr>
                <w:rFonts w:hint="eastAsia" w:ascii="微软雅黑" w:hAnsi="微软雅黑" w:eastAsia="微软雅黑" w:cs="微软雅黑"/>
                <w:b w:val="0"/>
                <w:i w:val="0"/>
                <w:snapToGrid/>
                <w:color w:val="000000"/>
                <w:sz w:val="21"/>
                <w:szCs w:val="21"/>
                <w:u w:val="none"/>
                <w:lang w:eastAsia="zh-CN"/>
              </w:rPr>
              <w:t>案件的调查取证，必须有两名以上执法人员参加，并出示有关证件，对涉及国家机密、商业秘密和个人隐私的，应当保守秘密。依法收集制作相关证据。调查终结后，承办人应当写出调查报告。</w:t>
            </w:r>
            <w:r>
              <w:rPr>
                <w:rFonts w:hint="eastAsia" w:ascii="微软雅黑" w:hAnsi="微软雅黑" w:eastAsia="微软雅黑" w:cs="微软雅黑"/>
                <w:b/>
                <w:i w:val="0"/>
                <w:snapToGrid/>
                <w:color w:val="000000"/>
                <w:sz w:val="21"/>
                <w:szCs w:val="21"/>
                <w:u w:val="none"/>
                <w:lang w:eastAsia="zh-CN"/>
              </w:rPr>
              <w:t>3、审查责任：</w:t>
            </w:r>
            <w:r>
              <w:rPr>
                <w:rFonts w:hint="eastAsia" w:ascii="微软雅黑" w:hAnsi="微软雅黑" w:eastAsia="微软雅黑" w:cs="微软雅黑"/>
                <w:b w:val="0"/>
                <w:i w:val="0"/>
                <w:snapToGrid/>
                <w:color w:val="000000"/>
                <w:sz w:val="21"/>
                <w:szCs w:val="21"/>
                <w:u w:val="none"/>
                <w:lang w:eastAsia="zh-CN"/>
              </w:rPr>
              <w:t>对案件调查情况进行合议，认为违法事实不成立的，予以销案。违法行为轻微，没有造成危害后果的，不予以行政处罚。不属于本机关管辖的，移送有管辖权的行政机关处理。涉嫌犯罪的，移送司法机关。</w:t>
            </w:r>
            <w:r>
              <w:rPr>
                <w:rFonts w:hint="eastAsia" w:ascii="微软雅黑" w:hAnsi="微软雅黑" w:eastAsia="微软雅黑" w:cs="微软雅黑"/>
                <w:b/>
                <w:i w:val="0"/>
                <w:snapToGrid/>
                <w:color w:val="000000"/>
                <w:sz w:val="21"/>
                <w:szCs w:val="21"/>
                <w:u w:val="none"/>
                <w:lang w:eastAsia="zh-CN"/>
              </w:rPr>
              <w:t>4、告知责任：</w:t>
            </w:r>
            <w:r>
              <w:rPr>
                <w:rFonts w:hint="eastAsia" w:ascii="微软雅黑" w:hAnsi="微软雅黑" w:eastAsia="微软雅黑" w:cs="微软雅黑"/>
                <w:b w:val="0"/>
                <w:i w:val="0"/>
                <w:snapToGrid/>
                <w:color w:val="000000"/>
                <w:sz w:val="21"/>
                <w:szCs w:val="21"/>
                <w:u w:val="none"/>
                <w:lang w:eastAsia="zh-CN"/>
              </w:rPr>
              <w:t>告知当事人拟作出行政处罚的事实、理由、依据以及当事人依法享有的权利等。应听取当事人的陈述和申辩，符合听证条件的，告知当事人申请举行听证的权利。</w:t>
            </w:r>
            <w:r>
              <w:rPr>
                <w:rFonts w:hint="eastAsia" w:ascii="微软雅黑" w:hAnsi="微软雅黑" w:eastAsia="微软雅黑" w:cs="微软雅黑"/>
                <w:b/>
                <w:i w:val="0"/>
                <w:snapToGrid/>
                <w:color w:val="000000"/>
                <w:sz w:val="21"/>
                <w:szCs w:val="21"/>
                <w:u w:val="none"/>
                <w:lang w:eastAsia="zh-CN"/>
              </w:rPr>
              <w:t>5、决定责任：</w:t>
            </w:r>
            <w:r>
              <w:rPr>
                <w:rFonts w:hint="eastAsia" w:ascii="微软雅黑" w:hAnsi="微软雅黑" w:eastAsia="微软雅黑" w:cs="微软雅黑"/>
                <w:b w:val="0"/>
                <w:i w:val="0"/>
                <w:snapToGrid/>
                <w:color w:val="000000"/>
                <w:sz w:val="21"/>
                <w:szCs w:val="21"/>
                <w:u w:val="none"/>
                <w:lang w:eastAsia="zh-CN"/>
              </w:rPr>
              <w:t>制作行政处罚决定书（载明违法事实、处罚的内容和依据等内容）。</w:t>
            </w:r>
            <w:r>
              <w:rPr>
                <w:rFonts w:hint="eastAsia" w:ascii="微软雅黑" w:hAnsi="微软雅黑" w:eastAsia="微软雅黑" w:cs="微软雅黑"/>
                <w:b/>
                <w:i w:val="0"/>
                <w:snapToGrid/>
                <w:color w:val="000000"/>
                <w:sz w:val="21"/>
                <w:szCs w:val="21"/>
                <w:u w:val="none"/>
                <w:lang w:eastAsia="zh-CN"/>
              </w:rPr>
              <w:t>6、送达责任：</w:t>
            </w:r>
            <w:r>
              <w:rPr>
                <w:rFonts w:hint="eastAsia" w:ascii="微软雅黑" w:hAnsi="微软雅黑" w:eastAsia="微软雅黑" w:cs="微软雅黑"/>
                <w:b w:val="0"/>
                <w:i w:val="0"/>
                <w:snapToGrid/>
                <w:color w:val="000000"/>
                <w:sz w:val="21"/>
                <w:szCs w:val="21"/>
                <w:u w:val="none"/>
                <w:lang w:eastAsia="zh-CN"/>
              </w:rPr>
              <w:t>行政处罚决定书应在法定期限通过法定方式送达给当事人。</w:t>
            </w:r>
            <w:r>
              <w:rPr>
                <w:rFonts w:hint="eastAsia" w:ascii="微软雅黑" w:hAnsi="微软雅黑" w:eastAsia="微软雅黑" w:cs="微软雅黑"/>
                <w:b/>
                <w:i w:val="0"/>
                <w:snapToGrid/>
                <w:color w:val="000000"/>
                <w:sz w:val="21"/>
                <w:szCs w:val="21"/>
                <w:u w:val="none"/>
                <w:lang w:eastAsia="zh-CN"/>
              </w:rPr>
              <w:t>7、执行责任</w:t>
            </w:r>
            <w:r>
              <w:rPr>
                <w:rFonts w:hint="eastAsia" w:ascii="微软雅黑" w:hAnsi="微软雅黑" w:eastAsia="微软雅黑" w:cs="微软雅黑"/>
                <w:b w:val="0"/>
                <w:i w:val="0"/>
                <w:snapToGrid/>
                <w:color w:val="000000"/>
                <w:sz w:val="21"/>
                <w:szCs w:val="21"/>
                <w:u w:val="none"/>
                <w:lang w:eastAsia="zh-CN"/>
              </w:rPr>
              <w:t>：依照生效的处罚决定履行或者执行。</w:t>
            </w:r>
            <w:r>
              <w:rPr>
                <w:rFonts w:hint="eastAsia" w:ascii="微软雅黑" w:hAnsi="微软雅黑" w:eastAsia="微软雅黑" w:cs="微软雅黑"/>
                <w:b/>
                <w:i w:val="0"/>
                <w:snapToGrid/>
                <w:color w:val="000000"/>
                <w:sz w:val="21"/>
                <w:szCs w:val="21"/>
                <w:u w:val="none"/>
                <w:lang w:eastAsia="zh-CN"/>
              </w:rPr>
              <w:t>8、其他：</w:t>
            </w:r>
            <w:r>
              <w:rPr>
                <w:rFonts w:hint="eastAsia" w:ascii="微软雅黑" w:hAnsi="微软雅黑" w:eastAsia="微软雅黑" w:cs="微软雅黑"/>
                <w:b w:val="0"/>
                <w:i w:val="0"/>
                <w:snapToGrid/>
                <w:color w:val="000000"/>
                <w:sz w:val="21"/>
                <w:szCs w:val="21"/>
                <w:u w:val="none"/>
                <w:lang w:eastAsia="zh-CN"/>
              </w:rPr>
              <w:t>法律法规规章文件规定应履行的责任。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问责依据</w:t>
            </w:r>
          </w:p>
        </w:tc>
        <w:tc>
          <w:tcPr>
            <w:tcW w:w="12154" w:type="dxa"/>
            <w:gridSpan w:val="3"/>
            <w:tcBorders>
              <w:tl2br w:val="nil"/>
              <w:tr2bl w:val="nil"/>
            </w:tcBorders>
            <w:shd w:val="clear" w:color="auto" w:fill="FFFFFF"/>
            <w:tcMar>
              <w:left w:w="150" w:type="dxa"/>
            </w:tcMar>
            <w:vAlign w:val="center"/>
          </w:tcPr>
          <w:p>
            <w:pPr>
              <w:spacing w:line="240" w:lineRule="exact"/>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sz w:val="21"/>
                <w:szCs w:val="21"/>
              </w:rPr>
              <w:t>【法律】《中华人民共和国行政处罚法》第五十五条至第六十二条；【法律】</w:t>
            </w:r>
            <w:r>
              <w:rPr>
                <w:rFonts w:hint="eastAsia" w:ascii="微软雅黑" w:hAnsi="微软雅黑" w:eastAsia="微软雅黑" w:cs="微软雅黑"/>
                <w:color w:val="333333"/>
                <w:sz w:val="21"/>
                <w:szCs w:val="21"/>
              </w:rPr>
              <w:t>《中华人民共和国律师法》第五十</w:t>
            </w:r>
            <w:r>
              <w:rPr>
                <w:rFonts w:hint="eastAsia" w:ascii="微软雅黑" w:hAnsi="微软雅黑" w:eastAsia="微软雅黑" w:cs="微软雅黑"/>
                <w:color w:val="333333"/>
                <w:sz w:val="21"/>
                <w:szCs w:val="21"/>
                <w:lang w:eastAsia="zh-CN"/>
              </w:rPr>
              <w:t>五、五十六</w:t>
            </w:r>
            <w:r>
              <w:rPr>
                <w:rFonts w:hint="eastAsia" w:ascii="微软雅黑" w:hAnsi="微软雅黑" w:eastAsia="微软雅黑" w:cs="微软雅黑"/>
                <w:color w:val="333333"/>
                <w:sz w:val="21"/>
                <w:szCs w:val="21"/>
              </w:rPr>
              <w:t>条；</w:t>
            </w:r>
            <w:r>
              <w:rPr>
                <w:rFonts w:hint="eastAsia" w:ascii="微软雅黑" w:hAnsi="微软雅黑" w:eastAsia="微软雅黑" w:cs="微软雅黑"/>
                <w:sz w:val="21"/>
                <w:szCs w:val="21"/>
              </w:rPr>
              <w:t>【地方性法规】《山西省行政执法条例》第四十至四十二条；【党内法规】《中国共产党纪律处分条例》；【其他】其他违反法律法规规章文件规定的行为。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实施主体</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综合管理股</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责任主体</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司法局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备注</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流程图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4289425" cy="6070600"/>
                  <wp:effectExtent l="0" t="0" r="15875" b="6350"/>
                  <wp:docPr id="10" name="图片 5" descr="新建 microsoft word 97 - 2003 文档_13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新建 microsoft word 97 - 2003 文档_1308_1"/>
                          <pic:cNvPicPr>
                            <a:picLocks noChangeAspect="1"/>
                          </pic:cNvPicPr>
                        </pic:nvPicPr>
                        <pic:blipFill>
                          <a:blip r:embed="rId8"/>
                          <a:stretch>
                            <a:fillRect/>
                          </a:stretch>
                        </pic:blipFill>
                        <pic:spPr>
                          <a:xfrm>
                            <a:off x="0" y="0"/>
                            <a:ext cx="4289425" cy="6070600"/>
                          </a:xfrm>
                          <a:prstGeom prst="rect">
                            <a:avLst/>
                          </a:prstGeom>
                          <a:noFill/>
                          <a:ln w="9525">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廉政风险防控图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lang w:eastAsia="zh-CN"/>
              </w:rPr>
            </w:pPr>
            <w:r>
              <w:rPr>
                <w:rFonts w:hint="eastAsia" w:ascii="微软雅黑" w:hAnsi="微软雅黑" w:eastAsia="微软雅黑" w:cs="微软雅黑"/>
                <w:b w:val="0"/>
                <w:bCs w:val="0"/>
                <w:i w:val="0"/>
                <w:caps w:val="0"/>
                <w:color w:val="auto"/>
                <w:spacing w:val="0"/>
                <w:sz w:val="21"/>
                <w:szCs w:val="21"/>
                <w:lang w:eastAsia="zh-CN"/>
              </w:rPr>
              <w:drawing>
                <wp:inline distT="0" distB="0" distL="114300" distR="114300">
                  <wp:extent cx="3726815" cy="5271135"/>
                  <wp:effectExtent l="0" t="0" r="6985" b="5715"/>
                  <wp:docPr id="7" name="图片 6" descr="081509505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815095056831"/>
                          <pic:cNvPicPr>
                            <a:picLocks noChangeAspect="1"/>
                          </pic:cNvPicPr>
                        </pic:nvPicPr>
                        <pic:blipFill>
                          <a:blip r:embed="rId9"/>
                          <a:stretch>
                            <a:fillRect/>
                          </a:stretch>
                        </pic:blipFill>
                        <pic:spPr>
                          <a:xfrm>
                            <a:off x="0" y="0"/>
                            <a:ext cx="3726815" cy="5271135"/>
                          </a:xfrm>
                          <a:prstGeom prst="rect">
                            <a:avLst/>
                          </a:prstGeom>
                          <a:noFill/>
                          <a:ln w="9525">
                            <a:noFill/>
                          </a:ln>
                        </pic:spPr>
                      </pic:pic>
                    </a:graphicData>
                  </a:graphic>
                </wp:inline>
              </w:drawing>
            </w:r>
          </w:p>
        </w:tc>
      </w:tr>
    </w:tbl>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tbl>
      <w:tblPr>
        <w:tblStyle w:val="3"/>
        <w:tblW w:w="136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职权编码</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0600-B-00400-140981</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职权类型</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行政处罚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职权名称</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对律师事务所拒绝法律援助机构的指派，不安排本所律师办理法律援助案件的处罚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子　　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i w:val="0"/>
                <w:snapToGrid/>
                <w:color w:val="000000"/>
                <w:sz w:val="21"/>
                <w:szCs w:val="21"/>
                <w:u w:val="none"/>
                <w:lang w:eastAsia="zh-CN"/>
              </w:rPr>
              <w:t>【行政法规】《法律援助条例》第二十七条</w:t>
            </w:r>
            <w:r>
              <w:rPr>
                <w:rFonts w:hint="eastAsia" w:ascii="微软雅黑" w:hAnsi="微软雅黑" w:eastAsia="微软雅黑" w:cs="微软雅黑"/>
                <w:b w:val="0"/>
                <w:i w:val="0"/>
                <w:snapToGrid/>
                <w:color w:val="000000"/>
                <w:sz w:val="21"/>
                <w:szCs w:val="21"/>
                <w:u w:val="non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责任事项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i w:val="0"/>
                <w:snapToGrid/>
                <w:color w:val="000000"/>
                <w:sz w:val="21"/>
                <w:szCs w:val="21"/>
                <w:u w:val="none"/>
                <w:lang w:eastAsia="zh-CN"/>
              </w:rPr>
              <w:t>1、立案责任：</w:t>
            </w:r>
            <w:r>
              <w:rPr>
                <w:rFonts w:hint="eastAsia" w:ascii="微软雅黑" w:hAnsi="微软雅黑" w:eastAsia="微软雅黑" w:cs="微软雅黑"/>
                <w:b w:val="0"/>
                <w:i w:val="0"/>
                <w:snapToGrid/>
                <w:color w:val="000000"/>
                <w:sz w:val="21"/>
                <w:szCs w:val="21"/>
                <w:u w:val="none"/>
                <w:lang w:eastAsia="zh-CN"/>
              </w:rPr>
              <w:t>对监督管理中发现的、社会举报的、上级机关交办的、下级机关报请的、有关部门移送等符合立案法定条件的案件，予以审查后，确定是否立案。</w:t>
            </w:r>
            <w:r>
              <w:rPr>
                <w:rFonts w:hint="eastAsia" w:ascii="微软雅黑" w:hAnsi="微软雅黑" w:eastAsia="微软雅黑" w:cs="微软雅黑"/>
                <w:b/>
                <w:i w:val="0"/>
                <w:snapToGrid/>
                <w:color w:val="000000"/>
                <w:sz w:val="21"/>
                <w:szCs w:val="21"/>
                <w:u w:val="none"/>
                <w:lang w:eastAsia="zh-CN"/>
              </w:rPr>
              <w:t>2、调查责任：</w:t>
            </w:r>
            <w:r>
              <w:rPr>
                <w:rFonts w:hint="eastAsia" w:ascii="微软雅黑" w:hAnsi="微软雅黑" w:eastAsia="微软雅黑" w:cs="微软雅黑"/>
                <w:b w:val="0"/>
                <w:i w:val="0"/>
                <w:snapToGrid/>
                <w:color w:val="000000"/>
                <w:sz w:val="21"/>
                <w:szCs w:val="21"/>
                <w:u w:val="none"/>
                <w:lang w:eastAsia="zh-CN"/>
              </w:rPr>
              <w:t>案件的调查取证，必须有两名以上执法人员参加，并出示有关证件，对涉及国家机密、商业秘密和个人隐私的，应当保守秘密。依法收集制作相关证据。调查终结后，承办人应当写出调查报告。</w:t>
            </w:r>
            <w:r>
              <w:rPr>
                <w:rFonts w:hint="eastAsia" w:ascii="微软雅黑" w:hAnsi="微软雅黑" w:eastAsia="微软雅黑" w:cs="微软雅黑"/>
                <w:b/>
                <w:i w:val="0"/>
                <w:snapToGrid/>
                <w:color w:val="000000"/>
                <w:sz w:val="21"/>
                <w:szCs w:val="21"/>
                <w:u w:val="none"/>
                <w:lang w:eastAsia="zh-CN"/>
              </w:rPr>
              <w:t>3、审查责任</w:t>
            </w:r>
            <w:r>
              <w:rPr>
                <w:rFonts w:hint="eastAsia" w:ascii="微软雅黑" w:hAnsi="微软雅黑" w:eastAsia="微软雅黑" w:cs="微软雅黑"/>
                <w:b w:val="0"/>
                <w:i w:val="0"/>
                <w:snapToGrid/>
                <w:color w:val="000000"/>
                <w:sz w:val="21"/>
                <w:szCs w:val="21"/>
                <w:u w:val="none"/>
                <w:lang w:eastAsia="zh-CN"/>
              </w:rPr>
              <w:t>：对案件调查情况进行合议，认为违法事实不成立的，予以销案。违法行为轻微，没有造成危害后果的，不予以行政处罚。不属于本机关管辖的，移送有管辖权的行政机关处理。涉嫌犯罪的，移送司法机关。</w:t>
            </w:r>
            <w:r>
              <w:rPr>
                <w:rFonts w:hint="eastAsia" w:ascii="微软雅黑" w:hAnsi="微软雅黑" w:eastAsia="微软雅黑" w:cs="微软雅黑"/>
                <w:b/>
                <w:i w:val="0"/>
                <w:snapToGrid/>
                <w:color w:val="000000"/>
                <w:sz w:val="21"/>
                <w:szCs w:val="21"/>
                <w:u w:val="none"/>
                <w:lang w:eastAsia="zh-CN"/>
              </w:rPr>
              <w:t>4、告知责任：</w:t>
            </w:r>
            <w:r>
              <w:rPr>
                <w:rFonts w:hint="eastAsia" w:ascii="微软雅黑" w:hAnsi="微软雅黑" w:eastAsia="微软雅黑" w:cs="微软雅黑"/>
                <w:b w:val="0"/>
                <w:i w:val="0"/>
                <w:snapToGrid/>
                <w:color w:val="000000"/>
                <w:sz w:val="21"/>
                <w:szCs w:val="21"/>
                <w:u w:val="none"/>
                <w:lang w:eastAsia="zh-CN"/>
              </w:rPr>
              <w:t>告知当事人拟作出行政处罚的事实、理由、依据以及当事人依法享有的权利等。应听取当事人的陈述和申辩，符合听证条件的，告知当事人申请举行听证的权利。</w:t>
            </w:r>
            <w:r>
              <w:rPr>
                <w:rFonts w:hint="eastAsia" w:ascii="微软雅黑" w:hAnsi="微软雅黑" w:eastAsia="微软雅黑" w:cs="微软雅黑"/>
                <w:b/>
                <w:i w:val="0"/>
                <w:snapToGrid/>
                <w:color w:val="000000"/>
                <w:sz w:val="21"/>
                <w:szCs w:val="21"/>
                <w:u w:val="none"/>
                <w:lang w:eastAsia="zh-CN"/>
              </w:rPr>
              <w:t>5、决定责任：</w:t>
            </w:r>
            <w:r>
              <w:rPr>
                <w:rFonts w:hint="eastAsia" w:ascii="微软雅黑" w:hAnsi="微软雅黑" w:eastAsia="微软雅黑" w:cs="微软雅黑"/>
                <w:b w:val="0"/>
                <w:i w:val="0"/>
                <w:snapToGrid/>
                <w:color w:val="000000"/>
                <w:sz w:val="21"/>
                <w:szCs w:val="21"/>
                <w:u w:val="none"/>
                <w:lang w:eastAsia="zh-CN"/>
              </w:rPr>
              <w:t>制作行政处罚决定书（载明违法事实、处罚的内容和依据等内容）。</w:t>
            </w:r>
            <w:r>
              <w:rPr>
                <w:rFonts w:hint="eastAsia" w:ascii="微软雅黑" w:hAnsi="微软雅黑" w:eastAsia="微软雅黑" w:cs="微软雅黑"/>
                <w:b/>
                <w:i w:val="0"/>
                <w:snapToGrid/>
                <w:color w:val="000000"/>
                <w:sz w:val="21"/>
                <w:szCs w:val="21"/>
                <w:u w:val="none"/>
                <w:lang w:eastAsia="zh-CN"/>
              </w:rPr>
              <w:t>6、送达责任：</w:t>
            </w:r>
            <w:r>
              <w:rPr>
                <w:rFonts w:hint="eastAsia" w:ascii="微软雅黑" w:hAnsi="微软雅黑" w:eastAsia="微软雅黑" w:cs="微软雅黑"/>
                <w:b w:val="0"/>
                <w:i w:val="0"/>
                <w:snapToGrid/>
                <w:color w:val="000000"/>
                <w:sz w:val="21"/>
                <w:szCs w:val="21"/>
                <w:u w:val="none"/>
                <w:lang w:eastAsia="zh-CN"/>
              </w:rPr>
              <w:t>行政处罚决定书应在法定期限通过法定方式送达给当事人。</w:t>
            </w:r>
            <w:r>
              <w:rPr>
                <w:rFonts w:hint="eastAsia" w:ascii="微软雅黑" w:hAnsi="微软雅黑" w:eastAsia="微软雅黑" w:cs="微软雅黑"/>
                <w:b/>
                <w:i w:val="0"/>
                <w:snapToGrid/>
                <w:color w:val="000000"/>
                <w:sz w:val="21"/>
                <w:szCs w:val="21"/>
                <w:u w:val="none"/>
                <w:lang w:eastAsia="zh-CN"/>
              </w:rPr>
              <w:t>7、执行责任：</w:t>
            </w:r>
            <w:r>
              <w:rPr>
                <w:rFonts w:hint="eastAsia" w:ascii="微软雅黑" w:hAnsi="微软雅黑" w:eastAsia="微软雅黑" w:cs="微软雅黑"/>
                <w:b w:val="0"/>
                <w:i w:val="0"/>
                <w:snapToGrid/>
                <w:color w:val="000000"/>
                <w:sz w:val="21"/>
                <w:szCs w:val="21"/>
                <w:u w:val="none"/>
                <w:lang w:eastAsia="zh-CN"/>
              </w:rPr>
              <w:t>依照生效的处罚决定履行或者执行。</w:t>
            </w:r>
            <w:r>
              <w:rPr>
                <w:rFonts w:hint="eastAsia" w:ascii="微软雅黑" w:hAnsi="微软雅黑" w:eastAsia="微软雅黑" w:cs="微软雅黑"/>
                <w:b/>
                <w:i w:val="0"/>
                <w:snapToGrid/>
                <w:color w:val="000000"/>
                <w:sz w:val="21"/>
                <w:szCs w:val="21"/>
                <w:u w:val="none"/>
                <w:lang w:eastAsia="zh-CN"/>
              </w:rPr>
              <w:t>8、其他：</w:t>
            </w:r>
            <w:r>
              <w:rPr>
                <w:rFonts w:hint="eastAsia" w:ascii="微软雅黑" w:hAnsi="微软雅黑" w:eastAsia="微软雅黑" w:cs="微软雅黑"/>
                <w:b w:val="0"/>
                <w:i w:val="0"/>
                <w:snapToGrid/>
                <w:color w:val="000000"/>
                <w:sz w:val="21"/>
                <w:szCs w:val="21"/>
                <w:u w:val="none"/>
                <w:lang w:eastAsia="zh-CN"/>
              </w:rPr>
              <w:t>法律法规规章文件规定应履行的责任。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问责依据</w:t>
            </w:r>
          </w:p>
        </w:tc>
        <w:tc>
          <w:tcPr>
            <w:tcW w:w="12154" w:type="dxa"/>
            <w:gridSpan w:val="3"/>
            <w:tcBorders>
              <w:tl2br w:val="nil"/>
              <w:tr2bl w:val="nil"/>
            </w:tcBorders>
            <w:shd w:val="clear" w:color="auto" w:fill="FFFFFF"/>
            <w:tcMar>
              <w:left w:w="150" w:type="dxa"/>
            </w:tcMar>
            <w:vAlign w:val="center"/>
          </w:tcPr>
          <w:p>
            <w:pPr>
              <w:spacing w:line="240" w:lineRule="exact"/>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sz w:val="21"/>
                <w:szCs w:val="21"/>
              </w:rPr>
              <w:t>【法律】《中华人民共和国行政处罚法》第五十五条至第六十二条；【法律】</w:t>
            </w:r>
            <w:r>
              <w:rPr>
                <w:rFonts w:hint="eastAsia" w:ascii="微软雅黑" w:hAnsi="微软雅黑" w:eastAsia="微软雅黑" w:cs="微软雅黑"/>
                <w:color w:val="333333"/>
                <w:sz w:val="21"/>
                <w:szCs w:val="21"/>
              </w:rPr>
              <w:t>《中华人民共和国律师法》第五十</w:t>
            </w:r>
            <w:r>
              <w:rPr>
                <w:rFonts w:hint="eastAsia" w:ascii="微软雅黑" w:hAnsi="微软雅黑" w:eastAsia="微软雅黑" w:cs="微软雅黑"/>
                <w:color w:val="333333"/>
                <w:sz w:val="21"/>
                <w:szCs w:val="21"/>
                <w:lang w:eastAsia="zh-CN"/>
              </w:rPr>
              <w:t>六</w:t>
            </w:r>
            <w:r>
              <w:rPr>
                <w:rFonts w:hint="eastAsia" w:ascii="微软雅黑" w:hAnsi="微软雅黑" w:eastAsia="微软雅黑" w:cs="微软雅黑"/>
                <w:color w:val="333333"/>
                <w:sz w:val="21"/>
                <w:szCs w:val="21"/>
              </w:rPr>
              <w:t>条；</w:t>
            </w:r>
            <w:r>
              <w:rPr>
                <w:rFonts w:hint="eastAsia" w:ascii="微软雅黑" w:hAnsi="微软雅黑" w:eastAsia="微软雅黑" w:cs="微软雅黑"/>
                <w:b w:val="0"/>
                <w:bCs/>
                <w:i w:val="0"/>
                <w:snapToGrid/>
                <w:color w:val="000000"/>
                <w:sz w:val="21"/>
                <w:szCs w:val="21"/>
                <w:u w:val="none"/>
                <w:lang w:eastAsia="zh-CN"/>
              </w:rPr>
              <w:t>【行政法规】《法律援助条例》第二十七条；</w:t>
            </w:r>
            <w:r>
              <w:rPr>
                <w:rFonts w:hint="eastAsia" w:ascii="微软雅黑" w:hAnsi="微软雅黑" w:eastAsia="微软雅黑" w:cs="微软雅黑"/>
                <w:sz w:val="21"/>
                <w:szCs w:val="21"/>
              </w:rPr>
              <w:t>【地方性法规】《山西省行政执法条例》第四十至四十二条；【党内法规】《中国共产党纪律处分条例》；【其他】其他违反法律法规规章文件规定的行为。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实施主体</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综合管理股</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责任主体</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司法局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备注</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流程图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4282440" cy="6057900"/>
                  <wp:effectExtent l="0" t="0" r="3810" b="0"/>
                  <wp:docPr id="4" name="图片 7" descr="行政处罚类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行政处罚类_1"/>
                          <pic:cNvPicPr>
                            <a:picLocks noChangeAspect="1"/>
                          </pic:cNvPicPr>
                        </pic:nvPicPr>
                        <pic:blipFill>
                          <a:blip r:embed="rId10"/>
                          <a:stretch>
                            <a:fillRect/>
                          </a:stretch>
                        </pic:blipFill>
                        <pic:spPr>
                          <a:xfrm>
                            <a:off x="0" y="0"/>
                            <a:ext cx="4282440" cy="6057900"/>
                          </a:xfrm>
                          <a:prstGeom prst="rect">
                            <a:avLst/>
                          </a:prstGeom>
                          <a:noFill/>
                          <a:ln w="9525">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廉政风险防控图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lang w:eastAsia="zh-CN"/>
              </w:rPr>
            </w:pPr>
            <w:r>
              <w:rPr>
                <w:rFonts w:hint="eastAsia" w:ascii="微软雅黑" w:hAnsi="微软雅黑" w:eastAsia="微软雅黑" w:cs="微软雅黑"/>
                <w:b w:val="0"/>
                <w:bCs w:val="0"/>
                <w:i w:val="0"/>
                <w:caps w:val="0"/>
                <w:color w:val="auto"/>
                <w:spacing w:val="0"/>
                <w:sz w:val="21"/>
                <w:szCs w:val="21"/>
                <w:lang w:eastAsia="zh-CN"/>
              </w:rPr>
              <w:drawing>
                <wp:inline distT="0" distB="0" distL="114300" distR="114300">
                  <wp:extent cx="3726815" cy="5271135"/>
                  <wp:effectExtent l="0" t="0" r="6985" b="5715"/>
                  <wp:docPr id="1" name="图片 8" descr="08150951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0815095142041"/>
                          <pic:cNvPicPr>
                            <a:picLocks noChangeAspect="1"/>
                          </pic:cNvPicPr>
                        </pic:nvPicPr>
                        <pic:blipFill>
                          <a:blip r:embed="rId11"/>
                          <a:stretch>
                            <a:fillRect/>
                          </a:stretch>
                        </pic:blipFill>
                        <pic:spPr>
                          <a:xfrm>
                            <a:off x="0" y="0"/>
                            <a:ext cx="3726815" cy="5271135"/>
                          </a:xfrm>
                          <a:prstGeom prst="rect">
                            <a:avLst/>
                          </a:prstGeom>
                          <a:noFill/>
                          <a:ln w="9525">
                            <a:noFill/>
                          </a:ln>
                        </pic:spPr>
                      </pic:pic>
                    </a:graphicData>
                  </a:graphic>
                </wp:inline>
              </w:drawing>
            </w:r>
          </w:p>
        </w:tc>
      </w:tr>
    </w:tbl>
    <w:p>
      <w:pPr>
        <w:rPr>
          <w:rFonts w:hint="eastAsia" w:ascii="微软雅黑" w:hAnsi="微软雅黑" w:eastAsia="微软雅黑" w:cs="微软雅黑"/>
          <w:sz w:val="21"/>
          <w:szCs w:val="21"/>
        </w:rPr>
      </w:pPr>
    </w:p>
    <w:tbl>
      <w:tblPr>
        <w:tblStyle w:val="3"/>
        <w:tblW w:w="136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职权编码</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0600-B-00500-140981</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职权类型</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行政处罚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职权名称</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对律师有《法律援助条例》第二十八条情形之一的处罚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子　　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职权依据</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i w:val="0"/>
                <w:snapToGrid/>
                <w:color w:val="000000"/>
                <w:sz w:val="21"/>
                <w:szCs w:val="21"/>
                <w:u w:val="none"/>
                <w:lang w:eastAsia="zh-CN"/>
              </w:rPr>
              <w:t>【行政法规】《法律援助条例》第二十八条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责任事项</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i w:val="0"/>
                <w:snapToGrid/>
                <w:color w:val="000000"/>
                <w:sz w:val="21"/>
                <w:szCs w:val="21"/>
                <w:u w:val="none"/>
                <w:lang w:eastAsia="zh-CN"/>
              </w:rPr>
              <w:t>1、立案责任</w:t>
            </w:r>
            <w:r>
              <w:rPr>
                <w:rFonts w:hint="eastAsia" w:ascii="微软雅黑" w:hAnsi="微软雅黑" w:eastAsia="微软雅黑" w:cs="微软雅黑"/>
                <w:b w:val="0"/>
                <w:i w:val="0"/>
                <w:snapToGrid/>
                <w:color w:val="000000"/>
                <w:sz w:val="21"/>
                <w:szCs w:val="21"/>
                <w:u w:val="none"/>
                <w:lang w:eastAsia="zh-CN"/>
              </w:rPr>
              <w:t>：对监督管理中发现的、社会举报的、上级机关交办的、下级机关报请的、有关部门移送等符合立案法定条件的案件，予以审查后，确定是否立案。</w:t>
            </w:r>
            <w:r>
              <w:rPr>
                <w:rFonts w:hint="eastAsia" w:ascii="微软雅黑" w:hAnsi="微软雅黑" w:eastAsia="微软雅黑" w:cs="微软雅黑"/>
                <w:b/>
                <w:i w:val="0"/>
                <w:snapToGrid/>
                <w:color w:val="000000"/>
                <w:sz w:val="21"/>
                <w:szCs w:val="21"/>
                <w:u w:val="none"/>
                <w:lang w:eastAsia="zh-CN"/>
              </w:rPr>
              <w:t>2、调查责任</w:t>
            </w:r>
            <w:r>
              <w:rPr>
                <w:rFonts w:hint="eastAsia" w:ascii="微软雅黑" w:hAnsi="微软雅黑" w:eastAsia="微软雅黑" w:cs="微软雅黑"/>
                <w:b w:val="0"/>
                <w:i w:val="0"/>
                <w:snapToGrid/>
                <w:color w:val="000000"/>
                <w:sz w:val="21"/>
                <w:szCs w:val="21"/>
                <w:u w:val="none"/>
                <w:lang w:eastAsia="zh-CN"/>
              </w:rPr>
              <w:t>：案件的调查取证，必须有两名以上执法人员参加，并出示有关证件，对涉及国家机密、商业秘密和个人隐私的，应当保守秘密。依法收集制作相关证据。调查终结后，承办人应当写出调查报告。</w:t>
            </w:r>
            <w:r>
              <w:rPr>
                <w:rFonts w:hint="eastAsia" w:ascii="微软雅黑" w:hAnsi="微软雅黑" w:eastAsia="微软雅黑" w:cs="微软雅黑"/>
                <w:b/>
                <w:i w:val="0"/>
                <w:snapToGrid/>
                <w:color w:val="000000"/>
                <w:sz w:val="21"/>
                <w:szCs w:val="21"/>
                <w:u w:val="none"/>
                <w:lang w:eastAsia="zh-CN"/>
              </w:rPr>
              <w:t>3、审查责任</w:t>
            </w:r>
            <w:r>
              <w:rPr>
                <w:rFonts w:hint="eastAsia" w:ascii="微软雅黑" w:hAnsi="微软雅黑" w:eastAsia="微软雅黑" w:cs="微软雅黑"/>
                <w:b w:val="0"/>
                <w:i w:val="0"/>
                <w:snapToGrid/>
                <w:color w:val="000000"/>
                <w:sz w:val="21"/>
                <w:szCs w:val="21"/>
                <w:u w:val="none"/>
                <w:lang w:eastAsia="zh-CN"/>
              </w:rPr>
              <w:t>：对案件调查情况进行合议，认为违法事实不成立的，予以销案。违法行为轻微，没有造成危害后果的，不予以行政处罚。不属于本机关管辖的，移送有管辖权的行政机关处理。涉嫌犯罪的，移送司法机关。</w:t>
            </w:r>
            <w:r>
              <w:rPr>
                <w:rFonts w:hint="eastAsia" w:ascii="微软雅黑" w:hAnsi="微软雅黑" w:eastAsia="微软雅黑" w:cs="微软雅黑"/>
                <w:b/>
                <w:i w:val="0"/>
                <w:snapToGrid/>
                <w:color w:val="000000"/>
                <w:sz w:val="21"/>
                <w:szCs w:val="21"/>
                <w:u w:val="none"/>
                <w:lang w:eastAsia="zh-CN"/>
              </w:rPr>
              <w:t>4、告知责任</w:t>
            </w:r>
            <w:r>
              <w:rPr>
                <w:rFonts w:hint="eastAsia" w:ascii="微软雅黑" w:hAnsi="微软雅黑" w:eastAsia="微软雅黑" w:cs="微软雅黑"/>
                <w:b w:val="0"/>
                <w:i w:val="0"/>
                <w:snapToGrid/>
                <w:color w:val="000000"/>
                <w:sz w:val="21"/>
                <w:szCs w:val="21"/>
                <w:u w:val="none"/>
                <w:lang w:eastAsia="zh-CN"/>
              </w:rPr>
              <w:t>：告知当事人拟作出行政处罚的事实、理由、依据以及当事人依法享有的权利等。应听取当事人的陈述和申辩，符合听证条件的，告知当事人申请举行听证的权利。</w:t>
            </w:r>
            <w:r>
              <w:rPr>
                <w:rFonts w:hint="eastAsia" w:ascii="微软雅黑" w:hAnsi="微软雅黑" w:eastAsia="微软雅黑" w:cs="微软雅黑"/>
                <w:b/>
                <w:i w:val="0"/>
                <w:snapToGrid/>
                <w:color w:val="000000"/>
                <w:sz w:val="21"/>
                <w:szCs w:val="21"/>
                <w:u w:val="none"/>
                <w:lang w:eastAsia="zh-CN"/>
              </w:rPr>
              <w:t>5、决定责任</w:t>
            </w:r>
            <w:r>
              <w:rPr>
                <w:rFonts w:hint="eastAsia" w:ascii="微软雅黑" w:hAnsi="微软雅黑" w:eastAsia="微软雅黑" w:cs="微软雅黑"/>
                <w:b w:val="0"/>
                <w:i w:val="0"/>
                <w:snapToGrid/>
                <w:color w:val="000000"/>
                <w:sz w:val="21"/>
                <w:szCs w:val="21"/>
                <w:u w:val="none"/>
                <w:lang w:eastAsia="zh-CN"/>
              </w:rPr>
              <w:t>：制作行政处罚决定书（载明违法事实、处罚的内容和依据等内容）。</w:t>
            </w:r>
            <w:r>
              <w:rPr>
                <w:rFonts w:hint="eastAsia" w:ascii="微软雅黑" w:hAnsi="微软雅黑" w:eastAsia="微软雅黑" w:cs="微软雅黑"/>
                <w:b/>
                <w:i w:val="0"/>
                <w:snapToGrid/>
                <w:color w:val="000000"/>
                <w:sz w:val="21"/>
                <w:szCs w:val="21"/>
                <w:u w:val="none"/>
                <w:lang w:eastAsia="zh-CN"/>
              </w:rPr>
              <w:t>6、送达责任</w:t>
            </w:r>
            <w:r>
              <w:rPr>
                <w:rFonts w:hint="eastAsia" w:ascii="微软雅黑" w:hAnsi="微软雅黑" w:eastAsia="微软雅黑" w:cs="微软雅黑"/>
                <w:b w:val="0"/>
                <w:i w:val="0"/>
                <w:snapToGrid/>
                <w:color w:val="000000"/>
                <w:sz w:val="21"/>
                <w:szCs w:val="21"/>
                <w:u w:val="none"/>
                <w:lang w:eastAsia="zh-CN"/>
              </w:rPr>
              <w:t>：行政处罚决定书应在法定期限通过法定方式送达给当事人。</w:t>
            </w:r>
            <w:r>
              <w:rPr>
                <w:rFonts w:hint="eastAsia" w:ascii="微软雅黑" w:hAnsi="微软雅黑" w:eastAsia="微软雅黑" w:cs="微软雅黑"/>
                <w:b/>
                <w:i w:val="0"/>
                <w:snapToGrid/>
                <w:color w:val="000000"/>
                <w:sz w:val="21"/>
                <w:szCs w:val="21"/>
                <w:u w:val="none"/>
                <w:lang w:eastAsia="zh-CN"/>
              </w:rPr>
              <w:t>7、执行责任：</w:t>
            </w:r>
            <w:r>
              <w:rPr>
                <w:rFonts w:hint="eastAsia" w:ascii="微软雅黑" w:hAnsi="微软雅黑" w:eastAsia="微软雅黑" w:cs="微软雅黑"/>
                <w:b w:val="0"/>
                <w:i w:val="0"/>
                <w:snapToGrid/>
                <w:color w:val="000000"/>
                <w:sz w:val="21"/>
                <w:szCs w:val="21"/>
                <w:u w:val="none"/>
                <w:lang w:eastAsia="zh-CN"/>
              </w:rPr>
              <w:t>依照生效的处罚决定履行或者执行。</w:t>
            </w:r>
            <w:r>
              <w:rPr>
                <w:rFonts w:hint="eastAsia" w:ascii="微软雅黑" w:hAnsi="微软雅黑" w:eastAsia="微软雅黑" w:cs="微软雅黑"/>
                <w:b/>
                <w:i w:val="0"/>
                <w:snapToGrid/>
                <w:color w:val="000000"/>
                <w:sz w:val="21"/>
                <w:szCs w:val="21"/>
                <w:u w:val="none"/>
                <w:lang w:eastAsia="zh-CN"/>
              </w:rPr>
              <w:t>8、其他：</w:t>
            </w:r>
            <w:r>
              <w:rPr>
                <w:rFonts w:hint="eastAsia" w:ascii="微软雅黑" w:hAnsi="微软雅黑" w:eastAsia="微软雅黑" w:cs="微软雅黑"/>
                <w:b w:val="0"/>
                <w:i w:val="0"/>
                <w:snapToGrid/>
                <w:color w:val="000000"/>
                <w:sz w:val="21"/>
                <w:szCs w:val="21"/>
                <w:u w:val="none"/>
                <w:lang w:eastAsia="zh-CN"/>
              </w:rPr>
              <w:t>法律法规规章文件规定应履行的责任。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问责依据</w:t>
            </w:r>
          </w:p>
        </w:tc>
        <w:tc>
          <w:tcPr>
            <w:tcW w:w="12154" w:type="dxa"/>
            <w:gridSpan w:val="3"/>
            <w:tcBorders>
              <w:tl2br w:val="nil"/>
              <w:tr2bl w:val="nil"/>
            </w:tcBorders>
            <w:shd w:val="clear" w:color="auto" w:fill="FFFFFF"/>
            <w:tcMar>
              <w:left w:w="150" w:type="dxa"/>
            </w:tcMar>
            <w:vAlign w:val="center"/>
          </w:tcPr>
          <w:p>
            <w:pPr>
              <w:spacing w:line="240" w:lineRule="exact"/>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sz w:val="21"/>
                <w:szCs w:val="21"/>
              </w:rPr>
              <w:t>【法律】《中华人民共和国行政处罚法》第五十五条至第六十二条；【法律】</w:t>
            </w:r>
            <w:r>
              <w:rPr>
                <w:rFonts w:hint="eastAsia" w:ascii="微软雅黑" w:hAnsi="微软雅黑" w:eastAsia="微软雅黑" w:cs="微软雅黑"/>
                <w:color w:val="333333"/>
                <w:sz w:val="21"/>
                <w:szCs w:val="21"/>
              </w:rPr>
              <w:t>《中华人民共和国律师法》第五十</w:t>
            </w:r>
            <w:r>
              <w:rPr>
                <w:rFonts w:hint="eastAsia" w:ascii="微软雅黑" w:hAnsi="微软雅黑" w:eastAsia="微软雅黑" w:cs="微软雅黑"/>
                <w:color w:val="333333"/>
                <w:sz w:val="21"/>
                <w:szCs w:val="21"/>
                <w:lang w:eastAsia="zh-CN"/>
              </w:rPr>
              <w:t>六</w:t>
            </w:r>
            <w:r>
              <w:rPr>
                <w:rFonts w:hint="eastAsia" w:ascii="微软雅黑" w:hAnsi="微软雅黑" w:eastAsia="微软雅黑" w:cs="微软雅黑"/>
                <w:color w:val="333333"/>
                <w:sz w:val="21"/>
                <w:szCs w:val="21"/>
              </w:rPr>
              <w:t>条；</w:t>
            </w:r>
            <w:r>
              <w:rPr>
                <w:rFonts w:hint="eastAsia" w:ascii="微软雅黑" w:hAnsi="微软雅黑" w:eastAsia="微软雅黑" w:cs="微软雅黑"/>
                <w:b w:val="0"/>
                <w:bCs/>
                <w:i w:val="0"/>
                <w:snapToGrid/>
                <w:color w:val="000000"/>
                <w:sz w:val="21"/>
                <w:szCs w:val="21"/>
                <w:u w:val="none"/>
                <w:lang w:eastAsia="zh-CN"/>
              </w:rPr>
              <w:t>【行政法规】《法律援助条例》第二十八条；</w:t>
            </w:r>
            <w:r>
              <w:rPr>
                <w:rFonts w:hint="eastAsia" w:ascii="微软雅黑" w:hAnsi="微软雅黑" w:eastAsia="微软雅黑" w:cs="微软雅黑"/>
                <w:sz w:val="21"/>
                <w:szCs w:val="21"/>
              </w:rPr>
              <w:t>【地方性法规】《山西省行政执法条例》第四十至四十二条</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【党内法规】《中国共产党纪律处分条例》；【其他】其他违反法律法规规章文件规定的行为。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实施主体</w:t>
            </w:r>
          </w:p>
        </w:tc>
        <w:tc>
          <w:tcPr>
            <w:tcW w:w="8410"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i w:val="0"/>
                <w:snapToGrid/>
                <w:color w:val="000000"/>
                <w:sz w:val="21"/>
                <w:szCs w:val="21"/>
                <w:u w:val="none"/>
                <w:lang w:eastAsia="zh-CN"/>
              </w:rPr>
              <w:t>综合管理股</w:t>
            </w:r>
          </w:p>
        </w:tc>
        <w:tc>
          <w:tcPr>
            <w:tcW w:w="2049"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责任主体</w:t>
            </w:r>
          </w:p>
        </w:tc>
        <w:tc>
          <w:tcPr>
            <w:tcW w:w="1695" w:type="dxa"/>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t>司法局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备注</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bCs w:val="0"/>
                <w:i w:val="0"/>
                <w:caps w:val="0"/>
                <w:color w:val="auto"/>
                <w:spacing w:val="0"/>
                <w:kern w:val="0"/>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流程图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kern w:val="0"/>
                <w:sz w:val="21"/>
                <w:szCs w:val="21"/>
                <w:lang w:val="en-US" w:eastAsia="zh-CN" w:bidi="ar"/>
              </w:rPr>
            </w:pPr>
            <w:r>
              <w:rPr>
                <w:rFonts w:hint="eastAsia" w:ascii="微软雅黑" w:hAnsi="微软雅黑" w:eastAsia="微软雅黑" w:cs="微软雅黑"/>
                <w:b w:val="0"/>
                <w:bCs w:val="0"/>
                <w:i w:val="0"/>
                <w:caps w:val="0"/>
                <w:color w:val="auto"/>
                <w:spacing w:val="0"/>
                <w:kern w:val="0"/>
                <w:sz w:val="21"/>
                <w:szCs w:val="21"/>
                <w:lang w:val="en-US" w:eastAsia="zh-CN" w:bidi="ar"/>
              </w:rPr>
              <w:drawing>
                <wp:inline distT="0" distB="0" distL="114300" distR="114300">
                  <wp:extent cx="4029075" cy="6129020"/>
                  <wp:effectExtent l="0" t="0" r="9525" b="5080"/>
                  <wp:docPr id="5" name="图片 9" descr="微信图片_201808171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图片_20180817102048"/>
                          <pic:cNvPicPr>
                            <a:picLocks noChangeAspect="1"/>
                          </pic:cNvPicPr>
                        </pic:nvPicPr>
                        <pic:blipFill>
                          <a:blip r:embed="rId12"/>
                          <a:stretch>
                            <a:fillRect/>
                          </a:stretch>
                        </pic:blipFill>
                        <pic:spPr>
                          <a:xfrm>
                            <a:off x="0" y="0"/>
                            <a:ext cx="4029075" cy="6129020"/>
                          </a:xfrm>
                          <a:prstGeom prst="rect">
                            <a:avLst/>
                          </a:prstGeom>
                          <a:noFill/>
                          <a:ln w="9525">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c>
          <w:tcPr>
            <w:tcW w:w="1461" w:type="dxa"/>
            <w:tcBorders>
              <w:tl2br w:val="nil"/>
              <w:tr2bl w:val="nil"/>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rPr>
            </w:pPr>
            <w:r>
              <w:rPr>
                <w:rFonts w:hint="eastAsia" w:ascii="微软雅黑" w:hAnsi="微软雅黑" w:eastAsia="微软雅黑" w:cs="微软雅黑"/>
                <w:b w:val="0"/>
                <w:bCs w:val="0"/>
                <w:i w:val="0"/>
                <w:caps w:val="0"/>
                <w:color w:val="auto"/>
                <w:spacing w:val="0"/>
                <w:kern w:val="0"/>
                <w:sz w:val="21"/>
                <w:szCs w:val="21"/>
                <w:lang w:val="en-US" w:eastAsia="zh-CN" w:bidi="ar"/>
              </w:rPr>
              <w:t>廉政风险防控图</w:t>
            </w:r>
          </w:p>
        </w:tc>
        <w:tc>
          <w:tcPr>
            <w:tcW w:w="12154" w:type="dxa"/>
            <w:gridSpan w:val="3"/>
            <w:tcBorders>
              <w:tl2br w:val="nil"/>
              <w:tr2bl w:val="nil"/>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bCs w:val="0"/>
                <w:i w:val="0"/>
                <w:caps w:val="0"/>
                <w:color w:val="auto"/>
                <w:spacing w:val="0"/>
                <w:sz w:val="21"/>
                <w:szCs w:val="21"/>
                <w:lang w:eastAsia="zh-CN"/>
              </w:rPr>
            </w:pPr>
            <w:r>
              <w:rPr>
                <w:rFonts w:hint="eastAsia" w:ascii="微软雅黑" w:hAnsi="微软雅黑" w:eastAsia="微软雅黑" w:cs="微软雅黑"/>
                <w:b w:val="0"/>
                <w:bCs w:val="0"/>
                <w:i w:val="0"/>
                <w:caps w:val="0"/>
                <w:color w:val="auto"/>
                <w:spacing w:val="0"/>
                <w:sz w:val="21"/>
                <w:szCs w:val="21"/>
                <w:lang w:eastAsia="zh-CN"/>
              </w:rPr>
              <w:drawing>
                <wp:inline distT="0" distB="0" distL="114300" distR="114300">
                  <wp:extent cx="3726815" cy="5271135"/>
                  <wp:effectExtent l="0" t="0" r="6985" b="5715"/>
                  <wp:docPr id="6" name="图片 10" descr="081509524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0815095242461"/>
                          <pic:cNvPicPr>
                            <a:picLocks noChangeAspect="1"/>
                          </pic:cNvPicPr>
                        </pic:nvPicPr>
                        <pic:blipFill>
                          <a:blip r:embed="rId13"/>
                          <a:stretch>
                            <a:fillRect/>
                          </a:stretch>
                        </pic:blipFill>
                        <pic:spPr>
                          <a:xfrm>
                            <a:off x="0" y="0"/>
                            <a:ext cx="3726815" cy="5271135"/>
                          </a:xfrm>
                          <a:prstGeom prst="rect">
                            <a:avLst/>
                          </a:prstGeom>
                          <a:noFill/>
                          <a:ln w="9525">
                            <a:noFill/>
                          </a:ln>
                        </pic:spPr>
                      </pic:pic>
                    </a:graphicData>
                  </a:graphic>
                </wp:inline>
              </w:drawing>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9C1AFC"/>
    <w:rsid w:val="249C1AF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2018-08-24T09:14:00Z</dcterms:created>
  <dc:creator>Administrator</dc:creator>
  <cp:lastModifiedBy>Administrator</cp:lastModifiedBy>
  <dcterms:modified xsi:type="dcterms:W3CDTF">2018-08-24T09:15:49Z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