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2880" w:firstLineChars="900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当事人：原平市华悦球团制造有限公司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91140981MAOJUM956Q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法定代表人姓名：马红伟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原平经济技术开区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该公司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废气排放口烟气在线监测设备全程通90.9mg/m</w:t>
      </w:r>
      <w:r>
        <w:rPr>
          <w:rFonts w:hint="eastAsia" w:ascii="仿宋" w:hAnsi="仿宋" w:eastAsia="仿宋"/>
          <w:b w:val="0"/>
          <w:bCs w:val="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  <w:vertAlign w:val="baseline"/>
          <w:lang w:val="en-US" w:eastAsia="zh-CN"/>
        </w:rPr>
        <w:t>二氧化硫标准气体，在200s内监测数值为70.8mg/m</w:t>
      </w:r>
      <w:r>
        <w:rPr>
          <w:rFonts w:hint="eastAsia" w:ascii="仿宋" w:hAnsi="仿宋" w:eastAsia="仿宋"/>
          <w:b w:val="0"/>
          <w:bCs w:val="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  <w:vertAlign w:val="baseline"/>
          <w:lang w:val="en-US" w:eastAsia="zh-CN"/>
        </w:rPr>
        <w:t>,300s后数值为73.2mg/m</w:t>
      </w:r>
      <w:r>
        <w:rPr>
          <w:rFonts w:hint="eastAsia" w:ascii="仿宋" w:hAnsi="仿宋" w:eastAsia="仿宋"/>
          <w:b w:val="0"/>
          <w:bCs w:val="0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  <w:vertAlign w:val="baseline"/>
          <w:lang w:val="en-US" w:eastAsia="zh-CN"/>
        </w:rPr>
        <w:t>,数值逐步上升但未满足《固定污染源烟气排放连续监测技术规范》（HJ/75-2017）中9.3.3.2要求，污染物自动在线监测设备不正常运行。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2022年9月27日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2022年9月27日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9月30日整改情况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《中华人民共和国大气污染防治法》第二十四条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年10月8日以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《行政处罚事先告知书》（忻环原平罚告字［2022］26号）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《行政处罚听证告知书》（忻环原平听告字［2022］26号）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第一百条第一款第三项和《山西省生态环境系统行政处罚自由裁量基准》（试行）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责令改正违法行为；罚款：柒万肆仟元整。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160" w:firstLineChars="13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160" w:firstLineChars="13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160" w:firstLineChars="13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160" w:firstLineChars="13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160" w:firstLineChars="13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OWUzNmFjZjE5MzQwNjNkZGIwYjI3ODViNjMxZTkifQ=="/>
  </w:docVars>
  <w:rsids>
    <w:rsidRoot w:val="00000000"/>
    <w:rsid w:val="7646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1298</Words>
  <Characters>1504</Characters>
  <Lines>0</Lines>
  <Paragraphs>0</Paragraphs>
  <TotalTime>2</TotalTime>
  <ScaleCrop>false</ScaleCrop>
  <LinksUpToDate>false</LinksUpToDate>
  <CharactersWithSpaces>1588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2022-12-06T02:54:33Z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A0D69CB39CD044B5BC341EEC70816317</vt:lpwstr>
  </property>
</Properties>
</file>